
<file path=[Content_Types].xml><?xml version="1.0" encoding="utf-8"?>
<Types xmlns="http://schemas.openxmlformats.org/package/2006/content-types">
  <Default Extension="bin" ContentType="application/vnd.openxmlformats-officedocument.oleObject"/>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style17.xml" ContentType="application/vnd.ms-office.chartstyle+xml"/>
  <Override PartName="/word/charts/chart18.xml" ContentType="application/vnd.openxmlformats-officedocument.drawingml.chart+xml"/>
  <Override PartName="/word/charts/chart17.xml" ContentType="application/vnd.openxmlformats-officedocument.drawingml.chart+xml"/>
  <Override PartName="/word/charts/colors17.xml" ContentType="application/vnd.ms-office.chartcolorstyle+xml"/>
  <Override PartName="/word/charts/colors18.xml" ContentType="application/vnd.ms-office.chartcolorstyle+xml"/>
  <Override PartName="/word/charts/chart19.xml" ContentType="application/vnd.openxmlformats-officedocument.drawingml.chart+xml"/>
  <Override PartName="/word/charts/style19.xml" ContentType="application/vnd.ms-office.chartstyle+xml"/>
  <Override PartName="/word/charts/style18.xml" ContentType="application/vnd.ms-office.chartstyle+xml"/>
  <Override PartName="/word/charts/style16.xml" ContentType="application/vnd.ms-office.chartstyle+xml"/>
  <Override PartName="/word/charts/colors19.xml" ContentType="application/vnd.ms-office.chartcolorstyle+xml"/>
  <Override PartName="/word/charts/colors14.xml" ContentType="application/vnd.ms-office.chartcolorstyle+xml"/>
  <Override PartName="/word/charts/style14.xml" ContentType="application/vnd.ms-office.chartstyle+xml"/>
  <Override PartName="/word/charts/chart14.xml" ContentType="application/vnd.openxmlformats-officedocument.drawingml.chart+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6.xml" ContentType="application/vnd.openxmlformats-officedocument.drawingml.chart+xml"/>
  <Override PartName="/word/charts/colors16.xml" ContentType="application/vnd.ms-office.chartcolorstyle+xml"/>
  <Override PartName="/word/charts/chart20.xml" ContentType="application/vnd.openxmlformats-officedocument.drawingml.chart+xml"/>
  <Override PartName="/word/charts/colors13.xml" ContentType="application/vnd.ms-office.chartcolorstyle+xml"/>
  <Override PartName="/word/charts/style20.xml" ContentType="application/vnd.ms-office.chartstyle+xml"/>
  <Override PartName="/word/charts/colors20.xml" ContentType="application/vnd.ms-office.chartcolorstyle+xml"/>
  <Override PartName="/word/theme/theme1.xml" ContentType="application/vnd.openxmlformats-officedocument.theme+xml"/>
  <Override PartName="/word/charts/style13.xml" ContentType="application/vnd.ms-office.chartstyle+xml"/>
  <Override PartName="/word/charts/chart13.xml" ContentType="application/vnd.openxmlformats-officedocument.drawingml.chart+xml"/>
  <Override PartName="/word/charts/chart5.xml" ContentType="application/vnd.openxmlformats-officedocument.drawingml.chart+xml"/>
  <Override PartName="/word/charts/colors4.xml" ContentType="application/vnd.ms-office.chartcolorstyle+xml"/>
  <Override PartName="/word/charts/style4.xml" ContentType="application/vnd.ms-office.chartstyle+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4.xml" ContentType="application/vnd.openxmlformats-officedocument.drawingml.chart+xml"/>
  <Override PartName="/word/charts/colors3.xml" ContentType="application/vnd.ms-office.chartcolorstyle+xml"/>
  <Override PartName="/word/charts/colors1.xml" ContentType="application/vnd.ms-office.chartcolorstyle+xml"/>
  <Override PartName="/word/charts/style1.xml" ContentType="application/vnd.ms-office.chartstyle+xml"/>
  <Override PartName="/word/charts/chart1.xml" ContentType="application/vnd.openxmlformats-officedocument.drawingml.chart+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style7.xml" ContentType="application/vnd.ms-office.chartstyle+xml"/>
  <Override PartName="/word/charts/style11.xml" ContentType="application/vnd.ms-office.chartstyle+xml"/>
  <Override PartName="/word/charts/chart11.xml" ContentType="application/vnd.openxmlformats-officedocument.drawingml.chart+xml"/>
  <Override PartName="/word/charts/colors10.xml" ContentType="application/vnd.ms-office.chartcolor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style10.xml" ContentType="application/vnd.ms-office.chartstyle+xml"/>
  <Override PartName="/word/charts/chart10.xml" ContentType="application/vnd.openxmlformats-officedocument.drawingml.chart+xml"/>
  <Override PartName="/word/charts/style8.xml" ContentType="application/vnd.ms-office.chartstyle+xml"/>
  <Override PartName="/word/charts/chart8.xml" ContentType="application/vnd.openxmlformats-officedocument.drawingml.chart+xml"/>
  <Override PartName="/word/charts/colors7.xml" ContentType="application/vnd.ms-office.chartcolorstyle+xml"/>
  <Override PartName="/word/charts/chart7.xml" ContentType="application/vnd.openxmlformats-officedocument.drawingml.chart+xml"/>
  <Override PartName="/word/charts/colors8.xml" ContentType="application/vnd.ms-office.chartcolorstyle+xml"/>
  <Override PartName="/word/charts/chart9.xml" ContentType="application/vnd.openxmlformats-officedocument.drawingml.chart+xml"/>
  <Override PartName="/word/charts/colors9.xml" ContentType="application/vnd.ms-office.chartcolorstyle+xml"/>
  <Override PartName="/word/charts/style9.xml" ContentType="application/vnd.ms-office.chartstyle+xml"/>
  <Override PartName="/word/settings.xml" ContentType="application/vnd.openxmlformats-officedocument.wordprocessingml.settings+xml"/>
  <Override PartName="/word/webSettings.xml" ContentType="application/vnd.openxmlformats-officedocument.wordprocessingml.webSettings+xml"/>
  <Override PartName="/word/numbering.xml" ContentType="application/vnd.openxmlformats-officedocument.wordprocessingml.numbering+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styles.xml" ContentType="application/vnd.openxmlformats-officedocument.wordprocessingml.styles+xml"/>
  <Override PartName="/customXml/itemProps3.xml" ContentType="application/vnd.openxmlformats-officedocument.customXml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B0816" w:rsidRPr="0001251B" w:rsidRDefault="001B0816" w:rsidP="005C3935">
      <w:pPr>
        <w:rPr>
          <w:b/>
          <w:sz w:val="24"/>
          <w:szCs w:val="24"/>
        </w:rPr>
      </w:pPr>
      <w:r w:rsidRPr="0001251B">
        <w:rPr>
          <w:b/>
          <w:sz w:val="24"/>
          <w:szCs w:val="24"/>
        </w:rPr>
        <w:t>Evaluatieverslag vormingspakket ‘geïntegreerde aanpak van burn-out in de huisartsenpraktijk’</w:t>
      </w:r>
      <w:r w:rsidR="002501AA">
        <w:rPr>
          <w:b/>
          <w:sz w:val="24"/>
          <w:szCs w:val="24"/>
        </w:rPr>
        <w:t xml:space="preserve"> </w:t>
      </w:r>
      <w:r w:rsidR="002501AA">
        <w:rPr>
          <w:b/>
          <w:sz w:val="24"/>
          <w:szCs w:val="24"/>
        </w:rPr>
        <w:tab/>
      </w:r>
      <w:r w:rsidR="002501AA">
        <w:rPr>
          <w:b/>
          <w:sz w:val="24"/>
          <w:szCs w:val="24"/>
        </w:rPr>
        <w:tab/>
      </w:r>
      <w:r w:rsidR="002501AA">
        <w:rPr>
          <w:b/>
          <w:sz w:val="24"/>
          <w:szCs w:val="24"/>
        </w:rPr>
        <w:tab/>
      </w:r>
      <w:r w:rsidR="002501AA">
        <w:rPr>
          <w:b/>
          <w:sz w:val="24"/>
          <w:szCs w:val="24"/>
        </w:rPr>
        <w:tab/>
      </w:r>
    </w:p>
    <w:p w:rsidR="005C3935" w:rsidRDefault="005C3935" w:rsidP="005C3935">
      <w:pPr>
        <w:pStyle w:val="Lijstalinea"/>
        <w:numPr>
          <w:ilvl w:val="0"/>
          <w:numId w:val="1"/>
        </w:numPr>
        <w:rPr>
          <w:b/>
        </w:rPr>
      </w:pPr>
      <w:r w:rsidRPr="005C3935">
        <w:rPr>
          <w:b/>
        </w:rPr>
        <w:t>Inleiding</w:t>
      </w:r>
    </w:p>
    <w:p w:rsidR="001B0816" w:rsidRPr="001B0816" w:rsidRDefault="001B0816" w:rsidP="001B0816">
      <w:r>
        <w:t>Dit evaluatieverslag bevat de gedeeltelijk</w:t>
      </w:r>
      <w:r w:rsidR="0001251B">
        <w:t xml:space="preserve">e resultaten van de LOK vormingen die 2019 plaatsvonden (16). De overige 14 vormingen die in 2019 werden ingepland vinden plaats in het eerste deel van 2020. De onderstaande resultaten zijn dus onvolledig, al kan verwacht worden dat bijkomende evaluaties niet sterk zullen afwijken van de evaluaties die nu al bekend zijn. </w:t>
      </w:r>
    </w:p>
    <w:p w:rsidR="00152DCA" w:rsidRDefault="008E6C3C" w:rsidP="001B0816">
      <w:pPr>
        <w:pStyle w:val="Lijstalinea"/>
        <w:numPr>
          <w:ilvl w:val="0"/>
          <w:numId w:val="1"/>
        </w:numPr>
        <w:jc w:val="both"/>
        <w:rPr>
          <w:b/>
        </w:rPr>
      </w:pPr>
      <w:r>
        <w:rPr>
          <w:b/>
        </w:rPr>
        <w:t>E</w:t>
      </w:r>
      <w:r w:rsidR="005C3935" w:rsidRPr="005C3935">
        <w:rPr>
          <w:b/>
        </w:rPr>
        <w:t>valuatie Train-</w:t>
      </w:r>
      <w:proofErr w:type="spellStart"/>
      <w:r w:rsidR="005C3935" w:rsidRPr="005C3935">
        <w:rPr>
          <w:b/>
        </w:rPr>
        <w:t>the</w:t>
      </w:r>
      <w:proofErr w:type="spellEnd"/>
      <w:r w:rsidR="005C3935" w:rsidRPr="005C3935">
        <w:rPr>
          <w:b/>
        </w:rPr>
        <w:t>-trainer</w:t>
      </w:r>
    </w:p>
    <w:p w:rsidR="007B4C21" w:rsidRDefault="007B4C21" w:rsidP="001B0816">
      <w:pPr>
        <w:jc w:val="both"/>
      </w:pPr>
      <w:r>
        <w:t>Het hoofddoel van de train-</w:t>
      </w:r>
      <w:proofErr w:type="spellStart"/>
      <w:r>
        <w:t>the</w:t>
      </w:r>
      <w:proofErr w:type="spellEnd"/>
      <w:r>
        <w:t>-trainer was het opleiden van geïnteresseerde psychologen en huisartsen om het LOK pakket te brengen in LOK-groepen. Daarnaast werd de groep deelnemers ook als testpanel gebruikt om de e-</w:t>
      </w:r>
      <w:proofErr w:type="spellStart"/>
      <w:r>
        <w:t>learning</w:t>
      </w:r>
      <w:proofErr w:type="spellEnd"/>
      <w:r>
        <w:t xml:space="preserve"> uit te testen. Opmerkingen (zowel inhoudelijk als vormelijk) konden op dat ogenblik nog worden meegenomen bij </w:t>
      </w:r>
      <w:r w:rsidR="00281D0D">
        <w:t>het finaliseren van de presentatie</w:t>
      </w:r>
      <w:r w:rsidR="00E35F70">
        <w:t>. Ook over de inhoud van de LOK presentatie en de accenten die daarin werden gelegd kon feedback gegeven worden. Met de bemerkingen en suggesties werd zoveel als mogelijk reke</w:t>
      </w:r>
      <w:r w:rsidR="00281D0D">
        <w:t>ning gehouden bij de finaliseren</w:t>
      </w:r>
      <w:r w:rsidR="00E35F70">
        <w:t xml:space="preserve"> van het vormingspakket. Opmerkingen die aan het doel van de vorming voorbij gingen, maar wel relevant waren binnen het bredere kader van de preventie en aanpak van burn-out binnen de zorg - zoals de nood om ook de maatschappelijke rol van de huisarts bij de aanpak van burn-out onder de aandacht te brengen – werden geregisterd. </w:t>
      </w:r>
    </w:p>
    <w:p w:rsidR="00E35F70" w:rsidRDefault="00E35F70" w:rsidP="001B0816">
      <w:pPr>
        <w:jc w:val="both"/>
      </w:pPr>
      <w:r>
        <w:t>Algemeen was het enthousiasme omtrent de insteek bij beide beroepsgroepen zeer groot. Het opzet om</w:t>
      </w:r>
      <w:r w:rsidR="00281D0D">
        <w:t xml:space="preserve"> met een</w:t>
      </w:r>
      <w:r>
        <w:t xml:space="preserve"> </w:t>
      </w:r>
      <w:proofErr w:type="spellStart"/>
      <w:r>
        <w:t>blended</w:t>
      </w:r>
      <w:proofErr w:type="spellEnd"/>
      <w:r>
        <w:t xml:space="preserve"> </w:t>
      </w:r>
      <w:proofErr w:type="spellStart"/>
      <w:r>
        <w:t>learning</w:t>
      </w:r>
      <w:proofErr w:type="spellEnd"/>
      <w:r w:rsidR="00281D0D">
        <w:t xml:space="preserve"> pakket</w:t>
      </w:r>
      <w:r>
        <w:t xml:space="preserve"> te gaan werken, waarbij de e-</w:t>
      </w:r>
      <w:proofErr w:type="spellStart"/>
      <w:r>
        <w:t>learning</w:t>
      </w:r>
      <w:proofErr w:type="spellEnd"/>
      <w:r>
        <w:t xml:space="preserve"> vooral de theoretische onderbouw meegeeft en de LOK inzet op het versterken van vaardigheden en het toepassen van opgedane kennis aan de hand van casussen werd positief onthaald. Al tijdens de train-</w:t>
      </w:r>
      <w:proofErr w:type="spellStart"/>
      <w:r>
        <w:t>the</w:t>
      </w:r>
      <w:proofErr w:type="spellEnd"/>
      <w:r>
        <w:t xml:space="preserve">-trainer bleek dat het inzetten op samenwerking de doelstelling en grote uitdaging van het project zou worden. De nood aan een taal die zowel voor huisartsen als psychologen </w:t>
      </w:r>
      <w:proofErr w:type="spellStart"/>
      <w:r>
        <w:t>begrijpbaar</w:t>
      </w:r>
      <w:proofErr w:type="spellEnd"/>
      <w:r>
        <w:t xml:space="preserve"> is, bleek hierbij c</w:t>
      </w:r>
      <w:r w:rsidR="008509F5">
        <w:t xml:space="preserve">ruciaal. </w:t>
      </w:r>
    </w:p>
    <w:p w:rsidR="008509F5" w:rsidRDefault="008509F5" w:rsidP="001B0816">
      <w:pPr>
        <w:jc w:val="both"/>
      </w:pPr>
      <w:r>
        <w:t xml:space="preserve">Inhoudelijk werd aangegeven dat de het SES profiel van de casussen niet divers genoeg was en er nood was aan het inbrengen van armoede en cultuur sensitiviteit. Ook had men graag meer aandacht gezien voor het </w:t>
      </w:r>
      <w:proofErr w:type="spellStart"/>
      <w:r>
        <w:t>reïntegratietraject</w:t>
      </w:r>
      <w:proofErr w:type="spellEnd"/>
      <w:r>
        <w:t xml:space="preserve"> en de afwezigheid van aandacht voor het medicatiebeleid bleek ook als gebrek ervaren te worden.</w:t>
      </w:r>
    </w:p>
    <w:p w:rsidR="008509F5" w:rsidRDefault="008509F5" w:rsidP="001B0816">
      <w:pPr>
        <w:jc w:val="both"/>
      </w:pPr>
      <w:r>
        <w:t xml:space="preserve">Praktisch gaf men aan graag met vaste duo’s huisarts – klinisch psycholoog te werken. Ook bleek de presentatie te lang en werd geopperd om de insteek te laten afhangen van de lokale situatie. De focus op samenwerking of op het versterken van vaardigheden van de huisarts bij afwezigheid van klinisch psychologen). </w:t>
      </w:r>
    </w:p>
    <w:p w:rsidR="001B0816" w:rsidRPr="007B4C21" w:rsidRDefault="008E6C3C" w:rsidP="00665D7A">
      <w:pPr>
        <w:jc w:val="both"/>
      </w:pPr>
      <w:r>
        <w:t xml:space="preserve">Op basis van de feedback tijdens de training, werd de casus depressie uitgewerkt voor iemand met een laag SES profiel. Daarnaast werd ook in de het begeleidingsdocument voor de </w:t>
      </w:r>
      <w:proofErr w:type="spellStart"/>
      <w:r>
        <w:t>LOKs</w:t>
      </w:r>
      <w:proofErr w:type="spellEnd"/>
      <w:r>
        <w:t xml:space="preserve"> meegegeven dat de presentatie zeer omvattend is en dat men er afhankelijk van de samenstelling (aantal huisartsen en psychologen) een andere focus op na kan houden. </w:t>
      </w:r>
      <w:bookmarkStart w:id="0" w:name="_GoBack"/>
      <w:bookmarkEnd w:id="0"/>
    </w:p>
    <w:p w:rsidR="005C3935" w:rsidRDefault="008B07E0" w:rsidP="005C3935">
      <w:pPr>
        <w:pStyle w:val="Lijstalinea"/>
        <w:numPr>
          <w:ilvl w:val="0"/>
          <w:numId w:val="1"/>
        </w:numPr>
        <w:rPr>
          <w:b/>
        </w:rPr>
      </w:pPr>
      <w:r w:rsidRPr="005C3935">
        <w:rPr>
          <w:b/>
        </w:rPr>
        <w:lastRenderedPageBreak/>
        <w:t>Resultaten evaluatie LO</w:t>
      </w:r>
      <w:r w:rsidR="00E700F8" w:rsidRPr="005C3935">
        <w:rPr>
          <w:b/>
        </w:rPr>
        <w:t>K vorming door deelnemers (9/01/2020</w:t>
      </w:r>
      <w:r w:rsidRPr="005C3935">
        <w:rPr>
          <w:b/>
        </w:rPr>
        <w:t>)</w:t>
      </w:r>
      <w:r w:rsidR="005C3935" w:rsidRPr="005C3935">
        <w:rPr>
          <w:b/>
        </w:rPr>
        <w:t xml:space="preserve"> </w:t>
      </w:r>
    </w:p>
    <w:p w:rsidR="005C3935" w:rsidRDefault="005C3935" w:rsidP="005C3935">
      <w:pPr>
        <w:pStyle w:val="Lijstalinea"/>
        <w:numPr>
          <w:ilvl w:val="1"/>
          <w:numId w:val="1"/>
        </w:numPr>
        <w:rPr>
          <w:b/>
        </w:rPr>
      </w:pPr>
      <w:r w:rsidRPr="005C3935">
        <w:rPr>
          <w:b/>
        </w:rPr>
        <w:t>Evaluatie Leerdoelen</w:t>
      </w:r>
    </w:p>
    <w:p w:rsidR="008B06E2" w:rsidRDefault="008B06E2" w:rsidP="008B06E2">
      <w:pPr>
        <w:pStyle w:val="Lijstalinea"/>
        <w:rPr>
          <w:b/>
        </w:rPr>
      </w:pPr>
    </w:p>
    <w:p w:rsidR="008B06E2" w:rsidRDefault="008B06E2" w:rsidP="008B06E2">
      <w:pPr>
        <w:pStyle w:val="Lijstalinea"/>
        <w:rPr>
          <w:b/>
        </w:rPr>
      </w:pPr>
      <w:r>
        <w:rPr>
          <w:noProof/>
          <w:lang w:eastAsia="nl-BE"/>
        </w:rPr>
        <w:drawing>
          <wp:inline distT="0" distB="0" distL="0" distR="0" wp14:anchorId="26C0B84F" wp14:editId="185C7F16">
            <wp:extent cx="3780430" cy="2333768"/>
            <wp:effectExtent l="0" t="0" r="10795" b="9525"/>
            <wp:docPr id="1" name="Grafiek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r>
        <w:rPr>
          <w:noProof/>
          <w:lang w:eastAsia="nl-BE"/>
        </w:rPr>
        <w:drawing>
          <wp:inline distT="0" distB="0" distL="0" distR="0" wp14:anchorId="14F2163E" wp14:editId="72CFD2C3">
            <wp:extent cx="3998595" cy="2319020"/>
            <wp:effectExtent l="0" t="0" r="1905" b="5080"/>
            <wp:docPr id="4" name="Grafiek 4"/>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8B06E2" w:rsidRDefault="008B06E2" w:rsidP="008B06E2">
      <w:pPr>
        <w:pStyle w:val="Lijstalinea"/>
        <w:rPr>
          <w:b/>
        </w:rPr>
      </w:pPr>
      <w:r>
        <w:rPr>
          <w:noProof/>
          <w:lang w:eastAsia="nl-BE"/>
        </w:rPr>
        <w:drawing>
          <wp:inline distT="0" distB="0" distL="0" distR="0" wp14:anchorId="45E5D176" wp14:editId="1CA18781">
            <wp:extent cx="3780155" cy="2177902"/>
            <wp:effectExtent l="0" t="0" r="10795" b="13335"/>
            <wp:docPr id="6" name="Grafiek 6"/>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r>
        <w:rPr>
          <w:noProof/>
          <w:lang w:eastAsia="nl-BE"/>
        </w:rPr>
        <w:drawing>
          <wp:inline distT="0" distB="0" distL="0" distR="0" wp14:anchorId="1EECE41A" wp14:editId="31F48A8F">
            <wp:extent cx="3998794" cy="2183642"/>
            <wp:effectExtent l="0" t="0" r="1905" b="7620"/>
            <wp:docPr id="7" name="Grafiek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8B06E2" w:rsidRPr="001B0816" w:rsidRDefault="008B06E2" w:rsidP="001B0816">
      <w:pPr>
        <w:pStyle w:val="Lijstalinea"/>
        <w:rPr>
          <w:b/>
        </w:rPr>
      </w:pPr>
      <w:r>
        <w:rPr>
          <w:noProof/>
          <w:lang w:eastAsia="nl-BE"/>
        </w:rPr>
        <w:lastRenderedPageBreak/>
        <w:drawing>
          <wp:inline distT="0" distB="0" distL="0" distR="0" wp14:anchorId="34FADB52" wp14:editId="5F15280E">
            <wp:extent cx="3848986" cy="2743200"/>
            <wp:effectExtent l="0" t="0" r="18415" b="0"/>
            <wp:docPr id="8" name="Grafiek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r>
        <w:rPr>
          <w:noProof/>
          <w:lang w:eastAsia="nl-BE"/>
        </w:rPr>
        <w:drawing>
          <wp:inline distT="0" distB="0" distL="0" distR="0" wp14:anchorId="78736D07" wp14:editId="21C96646">
            <wp:extent cx="4167963" cy="2731932"/>
            <wp:effectExtent l="0" t="0" r="4445" b="11430"/>
            <wp:docPr id="9" name="Grafiek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r>
        <w:rPr>
          <w:b/>
        </w:rPr>
        <w:t xml:space="preserve"> </w:t>
      </w:r>
    </w:p>
    <w:p w:rsidR="008B06E2" w:rsidRDefault="008B06E2" w:rsidP="008B06E2">
      <w:pPr>
        <w:pStyle w:val="Lijstalinea"/>
        <w:rPr>
          <w:b/>
        </w:rPr>
      </w:pPr>
      <w:r>
        <w:rPr>
          <w:noProof/>
          <w:lang w:eastAsia="nl-BE"/>
        </w:rPr>
        <w:drawing>
          <wp:inline distT="0" distB="0" distL="0" distR="0" wp14:anchorId="499B1C98" wp14:editId="75C86E2F">
            <wp:extent cx="3848735" cy="2615846"/>
            <wp:effectExtent l="0" t="0" r="18415" b="13335"/>
            <wp:docPr id="10" name="Grafiek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Pr>
          <w:noProof/>
          <w:lang w:eastAsia="nl-BE"/>
        </w:rPr>
        <w:drawing>
          <wp:inline distT="0" distB="0" distL="0" distR="0" wp14:anchorId="7AEEA918" wp14:editId="37CC4304">
            <wp:extent cx="4178389" cy="2625873"/>
            <wp:effectExtent l="0" t="0" r="12700" b="3175"/>
            <wp:docPr id="11" name="Grafiek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8B06E2" w:rsidRPr="006D4204" w:rsidRDefault="008B06E2" w:rsidP="006D4204">
      <w:pPr>
        <w:pStyle w:val="Lijstalinea"/>
        <w:rPr>
          <w:b/>
        </w:rPr>
      </w:pPr>
      <w:r>
        <w:rPr>
          <w:noProof/>
          <w:lang w:eastAsia="nl-BE"/>
        </w:rPr>
        <w:lastRenderedPageBreak/>
        <w:drawing>
          <wp:inline distT="0" distB="0" distL="0" distR="0" wp14:anchorId="69B8364D" wp14:editId="6108CE64">
            <wp:extent cx="3965945" cy="2778863"/>
            <wp:effectExtent l="0" t="0" r="15875" b="2540"/>
            <wp:docPr id="12" name="Grafiek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r>
        <w:rPr>
          <w:noProof/>
          <w:lang w:eastAsia="nl-BE"/>
        </w:rPr>
        <w:drawing>
          <wp:inline distT="0" distB="0" distL="0" distR="0" wp14:anchorId="44765455" wp14:editId="07E8FEED">
            <wp:extent cx="4199861" cy="2778657"/>
            <wp:effectExtent l="0" t="0" r="10795" b="3175"/>
            <wp:docPr id="13" name="Grafiek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8B06E2" w:rsidRDefault="008B06E2" w:rsidP="001B0816">
      <w:pPr>
        <w:pStyle w:val="Lijstalinea"/>
        <w:rPr>
          <w:b/>
        </w:rPr>
      </w:pPr>
      <w:r>
        <w:rPr>
          <w:noProof/>
          <w:lang w:eastAsia="nl-BE"/>
        </w:rPr>
        <w:drawing>
          <wp:inline distT="0" distB="0" distL="0" distR="0" wp14:anchorId="56DC3E7F" wp14:editId="4277B59E">
            <wp:extent cx="3976577" cy="2577923"/>
            <wp:effectExtent l="0" t="0" r="5080" b="13335"/>
            <wp:docPr id="14" name="Grafiek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r>
        <w:rPr>
          <w:noProof/>
          <w:lang w:eastAsia="nl-BE"/>
        </w:rPr>
        <w:drawing>
          <wp:inline distT="0" distB="0" distL="0" distR="0" wp14:anchorId="0BC3DEA6" wp14:editId="06D3AE01">
            <wp:extent cx="4210493" cy="2594270"/>
            <wp:effectExtent l="0" t="0" r="0" b="15875"/>
            <wp:docPr id="15" name="Grafiek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1B0816" w:rsidRPr="001B0816" w:rsidRDefault="001B0816" w:rsidP="001B0816">
      <w:pPr>
        <w:pStyle w:val="Lijstalinea"/>
        <w:rPr>
          <w:b/>
        </w:rPr>
      </w:pPr>
    </w:p>
    <w:p w:rsidR="005C3935" w:rsidRPr="005C3935" w:rsidRDefault="005C3935" w:rsidP="005C3935">
      <w:pPr>
        <w:pStyle w:val="Lijstalinea"/>
        <w:numPr>
          <w:ilvl w:val="1"/>
          <w:numId w:val="1"/>
        </w:numPr>
        <w:rPr>
          <w:b/>
        </w:rPr>
      </w:pPr>
      <w:r w:rsidRPr="005C3935">
        <w:rPr>
          <w:b/>
        </w:rPr>
        <w:lastRenderedPageBreak/>
        <w:t>Evaluatie verloop LOK</w:t>
      </w:r>
    </w:p>
    <w:p w:rsidR="005C3935" w:rsidRDefault="00A35A5A" w:rsidP="005C3935">
      <w:pPr>
        <w:rPr>
          <w:b/>
        </w:rPr>
      </w:pPr>
      <w:r>
        <w:rPr>
          <w:noProof/>
          <w:lang w:eastAsia="nl-BE"/>
        </w:rPr>
        <w:drawing>
          <wp:inline distT="0" distB="0" distL="0" distR="0" wp14:anchorId="137FA8F9" wp14:editId="4E0DED23">
            <wp:extent cx="3930555" cy="2674905"/>
            <wp:effectExtent l="0" t="0" r="13335" b="11430"/>
            <wp:docPr id="16" name="Grafiek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r>
        <w:rPr>
          <w:noProof/>
          <w:lang w:eastAsia="nl-BE"/>
        </w:rPr>
        <w:drawing>
          <wp:inline distT="0" distB="0" distL="0" distR="0" wp14:anchorId="15EED38E" wp14:editId="7BC59105">
            <wp:extent cx="4435523" cy="2647305"/>
            <wp:effectExtent l="0" t="0" r="3175" b="1270"/>
            <wp:docPr id="17" name="Grafiek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A35A5A" w:rsidRPr="005C3935" w:rsidRDefault="00A35A5A" w:rsidP="005C3935">
      <w:pPr>
        <w:rPr>
          <w:b/>
        </w:rPr>
      </w:pPr>
      <w:r>
        <w:rPr>
          <w:noProof/>
          <w:lang w:eastAsia="nl-BE"/>
        </w:rPr>
        <w:drawing>
          <wp:inline distT="0" distB="0" distL="0" distR="0" wp14:anchorId="68CFD45C" wp14:editId="53C92BE9">
            <wp:extent cx="3976577" cy="2584642"/>
            <wp:effectExtent l="0" t="0" r="5080" b="6350"/>
            <wp:docPr id="18" name="Grafiek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r>
        <w:rPr>
          <w:noProof/>
          <w:lang w:eastAsia="nl-BE"/>
        </w:rPr>
        <w:drawing>
          <wp:inline distT="0" distB="0" distL="0" distR="0" wp14:anchorId="0C3DA704" wp14:editId="2111A1DE">
            <wp:extent cx="4408170" cy="2592686"/>
            <wp:effectExtent l="0" t="0" r="11430" b="17780"/>
            <wp:docPr id="19" name="Grafiek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5C3935" w:rsidRDefault="005C3935" w:rsidP="005C3935">
      <w:pPr>
        <w:pStyle w:val="Lijstalinea"/>
        <w:numPr>
          <w:ilvl w:val="0"/>
          <w:numId w:val="1"/>
        </w:numPr>
        <w:rPr>
          <w:b/>
        </w:rPr>
      </w:pPr>
      <w:r>
        <w:rPr>
          <w:b/>
        </w:rPr>
        <w:lastRenderedPageBreak/>
        <w:t>Resultaten e</w:t>
      </w:r>
      <w:r w:rsidRPr="005C3935">
        <w:rPr>
          <w:b/>
        </w:rPr>
        <w:t>valuatie LOK burn-out door moderatoren 9/01/2020</w:t>
      </w:r>
    </w:p>
    <w:p w:rsidR="007B4C21" w:rsidRDefault="007B4C21" w:rsidP="007B4C21">
      <w:pPr>
        <w:pStyle w:val="Lijstalinea"/>
        <w:rPr>
          <w:b/>
        </w:rPr>
      </w:pPr>
    </w:p>
    <w:p w:rsidR="007B4C21" w:rsidRPr="007B4C21" w:rsidRDefault="007B4C21" w:rsidP="007B4C21">
      <w:pPr>
        <w:pStyle w:val="Lijstalinea"/>
        <w:numPr>
          <w:ilvl w:val="1"/>
          <w:numId w:val="1"/>
        </w:numPr>
        <w:rPr>
          <w:b/>
        </w:rPr>
      </w:pPr>
      <w:r w:rsidRPr="007B4C21">
        <w:rPr>
          <w:b/>
        </w:rPr>
        <w:t>Aantal deelnemers per LOK</w:t>
      </w:r>
    </w:p>
    <w:tbl>
      <w:tblPr>
        <w:tblStyle w:val="Tabelraster"/>
        <w:tblW w:w="0" w:type="auto"/>
        <w:tblLook w:val="04A0" w:firstRow="1" w:lastRow="0" w:firstColumn="1" w:lastColumn="0" w:noHBand="0" w:noVBand="1"/>
      </w:tblPr>
      <w:tblGrid>
        <w:gridCol w:w="924"/>
        <w:gridCol w:w="1943"/>
        <w:gridCol w:w="1989"/>
      </w:tblGrid>
      <w:tr w:rsidR="007B4C21" w:rsidRPr="008B07E0" w:rsidTr="00F3235C">
        <w:tc>
          <w:tcPr>
            <w:tcW w:w="0" w:type="auto"/>
          </w:tcPr>
          <w:p w:rsidR="007B4C21" w:rsidRPr="005C3935" w:rsidRDefault="007B4C21" w:rsidP="00F3235C">
            <w:pPr>
              <w:spacing w:after="160" w:line="259" w:lineRule="auto"/>
              <w:rPr>
                <w:b/>
              </w:rPr>
            </w:pPr>
            <w:r w:rsidRPr="005C3935">
              <w:rPr>
                <w:b/>
              </w:rPr>
              <w:t xml:space="preserve">LOK nr. </w:t>
            </w:r>
          </w:p>
        </w:tc>
        <w:tc>
          <w:tcPr>
            <w:tcW w:w="0" w:type="auto"/>
            <w:tcBorders>
              <w:top w:val="single" w:sz="4" w:space="0" w:color="auto"/>
              <w:left w:val="nil"/>
              <w:bottom w:val="single" w:sz="4" w:space="0" w:color="auto"/>
              <w:right w:val="single" w:sz="4" w:space="0" w:color="auto"/>
            </w:tcBorders>
            <w:shd w:val="clear" w:color="auto" w:fill="auto"/>
            <w:vAlign w:val="bottom"/>
          </w:tcPr>
          <w:p w:rsidR="007B4C21" w:rsidRPr="005C3935" w:rsidRDefault="007B4C21" w:rsidP="00F3235C">
            <w:pPr>
              <w:spacing w:after="160" w:line="259" w:lineRule="auto"/>
              <w:rPr>
                <w:b/>
              </w:rPr>
            </w:pPr>
            <w:r w:rsidRPr="005C3935">
              <w:rPr>
                <w:b/>
              </w:rPr>
              <w:t>Aantal deelnemers</w:t>
            </w:r>
          </w:p>
        </w:tc>
        <w:tc>
          <w:tcPr>
            <w:tcW w:w="1989" w:type="dxa"/>
            <w:tcBorders>
              <w:top w:val="single" w:sz="4" w:space="0" w:color="auto"/>
              <w:left w:val="nil"/>
              <w:bottom w:val="single" w:sz="4" w:space="0" w:color="auto"/>
              <w:right w:val="single" w:sz="4" w:space="0" w:color="auto"/>
            </w:tcBorders>
          </w:tcPr>
          <w:p w:rsidR="007B4C21" w:rsidRPr="005C3935" w:rsidRDefault="007B4C21" w:rsidP="00F3235C">
            <w:pPr>
              <w:rPr>
                <w:b/>
              </w:rPr>
            </w:pPr>
            <w:r w:rsidRPr="005C3935">
              <w:rPr>
                <w:b/>
              </w:rPr>
              <w:t xml:space="preserve">Regio </w:t>
            </w:r>
          </w:p>
        </w:tc>
      </w:tr>
      <w:tr w:rsidR="007B4C21" w:rsidRPr="008B07E0" w:rsidTr="00F3235C">
        <w:tc>
          <w:tcPr>
            <w:tcW w:w="0" w:type="auto"/>
          </w:tcPr>
          <w:p w:rsidR="007B4C21" w:rsidRPr="007B4C21" w:rsidRDefault="007B4C21" w:rsidP="00F3235C">
            <w:pPr>
              <w:spacing w:after="160" w:line="259" w:lineRule="auto"/>
              <w:rPr>
                <w:b/>
                <w:sz w:val="18"/>
                <w:szCs w:val="18"/>
              </w:rPr>
            </w:pPr>
            <w:r w:rsidRPr="007B4C21">
              <w:rPr>
                <w:b/>
                <w:sz w:val="18"/>
                <w:szCs w:val="18"/>
              </w:rPr>
              <w:t>1</w:t>
            </w:r>
            <w:r w:rsidRPr="007B4C21">
              <w:rPr>
                <w:b/>
                <w:sz w:val="18"/>
                <w:szCs w:val="18"/>
              </w:rPr>
              <w:tab/>
            </w:r>
          </w:p>
        </w:tc>
        <w:tc>
          <w:tcPr>
            <w:tcW w:w="0" w:type="auto"/>
            <w:tcBorders>
              <w:top w:val="single" w:sz="4" w:space="0" w:color="auto"/>
              <w:left w:val="nil"/>
              <w:bottom w:val="single" w:sz="4" w:space="0" w:color="auto"/>
              <w:right w:val="single" w:sz="4" w:space="0" w:color="auto"/>
            </w:tcBorders>
            <w:shd w:val="clear" w:color="auto" w:fill="auto"/>
            <w:vAlign w:val="bottom"/>
          </w:tcPr>
          <w:p w:rsidR="007B4C21" w:rsidRPr="007B4C21" w:rsidRDefault="007B4C21" w:rsidP="00F3235C">
            <w:pPr>
              <w:spacing w:after="160" w:line="259" w:lineRule="auto"/>
              <w:rPr>
                <w:sz w:val="18"/>
                <w:szCs w:val="18"/>
              </w:rPr>
            </w:pPr>
            <w:r w:rsidRPr="007B4C21">
              <w:rPr>
                <w:sz w:val="18"/>
                <w:szCs w:val="18"/>
              </w:rPr>
              <w:t>7</w:t>
            </w:r>
          </w:p>
        </w:tc>
        <w:tc>
          <w:tcPr>
            <w:tcW w:w="1989" w:type="dxa"/>
            <w:tcBorders>
              <w:top w:val="single" w:sz="4" w:space="0" w:color="auto"/>
              <w:left w:val="nil"/>
              <w:bottom w:val="single" w:sz="4" w:space="0" w:color="auto"/>
              <w:right w:val="single" w:sz="4" w:space="0" w:color="auto"/>
            </w:tcBorders>
          </w:tcPr>
          <w:p w:rsidR="007B4C21" w:rsidRPr="007B4C21" w:rsidRDefault="007B4C21" w:rsidP="00F3235C">
            <w:pPr>
              <w:rPr>
                <w:sz w:val="18"/>
                <w:szCs w:val="18"/>
              </w:rPr>
            </w:pPr>
            <w:r w:rsidRPr="007B4C21">
              <w:rPr>
                <w:sz w:val="18"/>
                <w:szCs w:val="18"/>
              </w:rPr>
              <w:t>Gent</w:t>
            </w:r>
          </w:p>
          <w:p w:rsidR="007B4C21" w:rsidRPr="007B4C21" w:rsidRDefault="007B4C21" w:rsidP="00F3235C">
            <w:pPr>
              <w:rPr>
                <w:sz w:val="18"/>
                <w:szCs w:val="18"/>
              </w:rPr>
            </w:pPr>
          </w:p>
        </w:tc>
      </w:tr>
      <w:tr w:rsidR="007B4C21" w:rsidRPr="008B07E0" w:rsidTr="00F3235C">
        <w:tc>
          <w:tcPr>
            <w:tcW w:w="0" w:type="auto"/>
          </w:tcPr>
          <w:p w:rsidR="007B4C21" w:rsidRPr="007B4C21" w:rsidRDefault="007B4C21" w:rsidP="00F3235C">
            <w:pPr>
              <w:spacing w:after="160" w:line="259" w:lineRule="auto"/>
              <w:rPr>
                <w:b/>
                <w:sz w:val="18"/>
                <w:szCs w:val="18"/>
              </w:rPr>
            </w:pPr>
            <w:r w:rsidRPr="007B4C21">
              <w:rPr>
                <w:b/>
                <w:sz w:val="18"/>
                <w:szCs w:val="18"/>
              </w:rPr>
              <w:t>2</w:t>
            </w:r>
          </w:p>
        </w:tc>
        <w:tc>
          <w:tcPr>
            <w:tcW w:w="0" w:type="auto"/>
            <w:tcBorders>
              <w:top w:val="single" w:sz="4" w:space="0" w:color="auto"/>
              <w:left w:val="nil"/>
              <w:bottom w:val="single" w:sz="4" w:space="0" w:color="auto"/>
              <w:right w:val="single" w:sz="4" w:space="0" w:color="auto"/>
            </w:tcBorders>
            <w:shd w:val="clear" w:color="auto" w:fill="auto"/>
            <w:vAlign w:val="bottom"/>
          </w:tcPr>
          <w:p w:rsidR="007B4C21" w:rsidRPr="007B4C21" w:rsidRDefault="007B4C21" w:rsidP="00F3235C">
            <w:pPr>
              <w:spacing w:after="160" w:line="259" w:lineRule="auto"/>
              <w:rPr>
                <w:sz w:val="18"/>
                <w:szCs w:val="18"/>
              </w:rPr>
            </w:pPr>
            <w:r w:rsidRPr="007B4C21">
              <w:rPr>
                <w:sz w:val="18"/>
                <w:szCs w:val="18"/>
              </w:rPr>
              <w:t>14</w:t>
            </w:r>
          </w:p>
        </w:tc>
        <w:tc>
          <w:tcPr>
            <w:tcW w:w="1989" w:type="dxa"/>
            <w:tcBorders>
              <w:top w:val="single" w:sz="4" w:space="0" w:color="auto"/>
              <w:left w:val="nil"/>
              <w:bottom w:val="single" w:sz="4" w:space="0" w:color="auto"/>
              <w:right w:val="single" w:sz="4" w:space="0" w:color="auto"/>
            </w:tcBorders>
          </w:tcPr>
          <w:p w:rsidR="007B4C21" w:rsidRPr="007B4C21" w:rsidRDefault="007B4C21" w:rsidP="00F3235C">
            <w:pPr>
              <w:rPr>
                <w:sz w:val="18"/>
                <w:szCs w:val="18"/>
              </w:rPr>
            </w:pPr>
            <w:r w:rsidRPr="007B4C21">
              <w:rPr>
                <w:sz w:val="18"/>
                <w:szCs w:val="18"/>
              </w:rPr>
              <w:t>Aartselaar</w:t>
            </w:r>
          </w:p>
        </w:tc>
      </w:tr>
      <w:tr w:rsidR="007B4C21" w:rsidRPr="008B07E0" w:rsidTr="00F3235C">
        <w:tc>
          <w:tcPr>
            <w:tcW w:w="0" w:type="auto"/>
          </w:tcPr>
          <w:p w:rsidR="007B4C21" w:rsidRPr="007B4C21" w:rsidRDefault="007B4C21" w:rsidP="00F3235C">
            <w:pPr>
              <w:spacing w:after="160" w:line="259" w:lineRule="auto"/>
              <w:rPr>
                <w:b/>
                <w:sz w:val="18"/>
                <w:szCs w:val="18"/>
              </w:rPr>
            </w:pPr>
            <w:r w:rsidRPr="007B4C21">
              <w:rPr>
                <w:b/>
                <w:sz w:val="18"/>
                <w:szCs w:val="18"/>
              </w:rPr>
              <w:t>3</w:t>
            </w:r>
          </w:p>
        </w:tc>
        <w:tc>
          <w:tcPr>
            <w:tcW w:w="0" w:type="auto"/>
            <w:tcBorders>
              <w:top w:val="single" w:sz="4" w:space="0" w:color="auto"/>
              <w:left w:val="nil"/>
              <w:bottom w:val="single" w:sz="4" w:space="0" w:color="auto"/>
              <w:right w:val="single" w:sz="4" w:space="0" w:color="auto"/>
            </w:tcBorders>
            <w:shd w:val="clear" w:color="auto" w:fill="auto"/>
            <w:vAlign w:val="bottom"/>
          </w:tcPr>
          <w:p w:rsidR="007B4C21" w:rsidRPr="007B4C21" w:rsidRDefault="007B4C21" w:rsidP="00F3235C">
            <w:pPr>
              <w:spacing w:after="160" w:line="259" w:lineRule="auto"/>
              <w:rPr>
                <w:sz w:val="18"/>
                <w:szCs w:val="18"/>
              </w:rPr>
            </w:pPr>
            <w:r w:rsidRPr="007B4C21">
              <w:rPr>
                <w:sz w:val="18"/>
                <w:szCs w:val="18"/>
              </w:rPr>
              <w:t>14</w:t>
            </w:r>
          </w:p>
        </w:tc>
        <w:tc>
          <w:tcPr>
            <w:tcW w:w="1989" w:type="dxa"/>
            <w:tcBorders>
              <w:top w:val="single" w:sz="4" w:space="0" w:color="auto"/>
              <w:left w:val="nil"/>
              <w:bottom w:val="single" w:sz="4" w:space="0" w:color="auto"/>
              <w:right w:val="single" w:sz="4" w:space="0" w:color="auto"/>
            </w:tcBorders>
          </w:tcPr>
          <w:p w:rsidR="007B4C21" w:rsidRPr="007B4C21" w:rsidRDefault="007B4C21" w:rsidP="00F3235C">
            <w:pPr>
              <w:rPr>
                <w:sz w:val="18"/>
                <w:szCs w:val="18"/>
              </w:rPr>
            </w:pPr>
            <w:r w:rsidRPr="007B4C21">
              <w:rPr>
                <w:sz w:val="18"/>
                <w:szCs w:val="18"/>
              </w:rPr>
              <w:t>Aartselaar</w:t>
            </w:r>
          </w:p>
        </w:tc>
      </w:tr>
      <w:tr w:rsidR="007B4C21" w:rsidRPr="008B07E0" w:rsidTr="00F3235C">
        <w:tc>
          <w:tcPr>
            <w:tcW w:w="0" w:type="auto"/>
          </w:tcPr>
          <w:p w:rsidR="007B4C21" w:rsidRPr="007B4C21" w:rsidRDefault="007B4C21" w:rsidP="00F3235C">
            <w:pPr>
              <w:spacing w:after="160" w:line="259" w:lineRule="auto"/>
              <w:rPr>
                <w:b/>
                <w:sz w:val="18"/>
                <w:szCs w:val="18"/>
              </w:rPr>
            </w:pPr>
            <w:r w:rsidRPr="007B4C21">
              <w:rPr>
                <w:b/>
                <w:sz w:val="18"/>
                <w:szCs w:val="18"/>
              </w:rPr>
              <w:t>4</w:t>
            </w:r>
          </w:p>
        </w:tc>
        <w:tc>
          <w:tcPr>
            <w:tcW w:w="0" w:type="auto"/>
            <w:tcBorders>
              <w:top w:val="single" w:sz="4" w:space="0" w:color="auto"/>
              <w:left w:val="nil"/>
              <w:bottom w:val="single" w:sz="4" w:space="0" w:color="auto"/>
              <w:right w:val="single" w:sz="4" w:space="0" w:color="auto"/>
            </w:tcBorders>
            <w:shd w:val="clear" w:color="auto" w:fill="auto"/>
            <w:vAlign w:val="bottom"/>
          </w:tcPr>
          <w:p w:rsidR="007B4C21" w:rsidRPr="007B4C21" w:rsidRDefault="007B4C21" w:rsidP="00F3235C">
            <w:pPr>
              <w:spacing w:after="160" w:line="259" w:lineRule="auto"/>
              <w:rPr>
                <w:sz w:val="18"/>
                <w:szCs w:val="18"/>
              </w:rPr>
            </w:pPr>
            <w:r w:rsidRPr="007B4C21">
              <w:rPr>
                <w:sz w:val="18"/>
                <w:szCs w:val="18"/>
              </w:rPr>
              <w:t>12</w:t>
            </w:r>
          </w:p>
        </w:tc>
        <w:tc>
          <w:tcPr>
            <w:tcW w:w="1989" w:type="dxa"/>
            <w:tcBorders>
              <w:top w:val="single" w:sz="4" w:space="0" w:color="auto"/>
              <w:left w:val="nil"/>
              <w:bottom w:val="single" w:sz="4" w:space="0" w:color="auto"/>
              <w:right w:val="single" w:sz="4" w:space="0" w:color="auto"/>
            </w:tcBorders>
          </w:tcPr>
          <w:p w:rsidR="007B4C21" w:rsidRPr="007B4C21" w:rsidRDefault="007B4C21" w:rsidP="00F3235C">
            <w:pPr>
              <w:rPr>
                <w:sz w:val="18"/>
                <w:szCs w:val="18"/>
              </w:rPr>
            </w:pPr>
            <w:r w:rsidRPr="007B4C21">
              <w:rPr>
                <w:sz w:val="18"/>
                <w:szCs w:val="18"/>
              </w:rPr>
              <w:t>Antwerpen</w:t>
            </w:r>
          </w:p>
        </w:tc>
      </w:tr>
      <w:tr w:rsidR="007B4C21" w:rsidRPr="008B07E0" w:rsidTr="00F3235C">
        <w:tc>
          <w:tcPr>
            <w:tcW w:w="0" w:type="auto"/>
          </w:tcPr>
          <w:p w:rsidR="007B4C21" w:rsidRPr="007B4C21" w:rsidRDefault="007B4C21" w:rsidP="00F3235C">
            <w:pPr>
              <w:spacing w:after="160" w:line="259" w:lineRule="auto"/>
              <w:rPr>
                <w:b/>
                <w:sz w:val="18"/>
                <w:szCs w:val="18"/>
              </w:rPr>
            </w:pPr>
            <w:r w:rsidRPr="007B4C21">
              <w:rPr>
                <w:b/>
                <w:sz w:val="18"/>
                <w:szCs w:val="18"/>
              </w:rPr>
              <w:t>5</w:t>
            </w:r>
          </w:p>
        </w:tc>
        <w:tc>
          <w:tcPr>
            <w:tcW w:w="0" w:type="auto"/>
            <w:tcBorders>
              <w:top w:val="single" w:sz="4" w:space="0" w:color="auto"/>
              <w:left w:val="nil"/>
              <w:bottom w:val="single" w:sz="4" w:space="0" w:color="auto"/>
              <w:right w:val="single" w:sz="4" w:space="0" w:color="auto"/>
            </w:tcBorders>
            <w:shd w:val="clear" w:color="auto" w:fill="auto"/>
            <w:vAlign w:val="bottom"/>
          </w:tcPr>
          <w:p w:rsidR="007B4C21" w:rsidRPr="007B4C21" w:rsidRDefault="007B4C21" w:rsidP="00F3235C">
            <w:pPr>
              <w:spacing w:after="160" w:line="259" w:lineRule="auto"/>
              <w:rPr>
                <w:sz w:val="18"/>
                <w:szCs w:val="18"/>
              </w:rPr>
            </w:pPr>
            <w:r w:rsidRPr="007B4C21">
              <w:rPr>
                <w:sz w:val="18"/>
                <w:szCs w:val="18"/>
              </w:rPr>
              <w:t>8</w:t>
            </w:r>
          </w:p>
        </w:tc>
        <w:tc>
          <w:tcPr>
            <w:tcW w:w="1989" w:type="dxa"/>
            <w:tcBorders>
              <w:top w:val="single" w:sz="4" w:space="0" w:color="auto"/>
              <w:left w:val="nil"/>
              <w:bottom w:val="single" w:sz="4" w:space="0" w:color="auto"/>
              <w:right w:val="single" w:sz="4" w:space="0" w:color="auto"/>
            </w:tcBorders>
          </w:tcPr>
          <w:p w:rsidR="007B4C21" w:rsidRPr="007B4C21" w:rsidRDefault="007B4C21" w:rsidP="00F3235C">
            <w:pPr>
              <w:rPr>
                <w:sz w:val="18"/>
                <w:szCs w:val="18"/>
              </w:rPr>
            </w:pPr>
            <w:r w:rsidRPr="007B4C21">
              <w:rPr>
                <w:sz w:val="18"/>
                <w:szCs w:val="18"/>
              </w:rPr>
              <w:t>Antwerpen</w:t>
            </w:r>
          </w:p>
        </w:tc>
      </w:tr>
      <w:tr w:rsidR="007B4C21" w:rsidRPr="008B07E0" w:rsidTr="00F3235C">
        <w:tc>
          <w:tcPr>
            <w:tcW w:w="0" w:type="auto"/>
          </w:tcPr>
          <w:p w:rsidR="007B4C21" w:rsidRPr="007B4C21" w:rsidRDefault="007B4C21" w:rsidP="00F3235C">
            <w:pPr>
              <w:spacing w:after="160" w:line="259" w:lineRule="auto"/>
              <w:rPr>
                <w:b/>
                <w:sz w:val="18"/>
                <w:szCs w:val="18"/>
              </w:rPr>
            </w:pPr>
            <w:r w:rsidRPr="007B4C21">
              <w:rPr>
                <w:b/>
                <w:sz w:val="18"/>
                <w:szCs w:val="18"/>
              </w:rPr>
              <w:t>6</w:t>
            </w:r>
          </w:p>
        </w:tc>
        <w:tc>
          <w:tcPr>
            <w:tcW w:w="0" w:type="auto"/>
            <w:tcBorders>
              <w:top w:val="single" w:sz="4" w:space="0" w:color="auto"/>
              <w:left w:val="nil"/>
              <w:bottom w:val="single" w:sz="4" w:space="0" w:color="auto"/>
              <w:right w:val="single" w:sz="4" w:space="0" w:color="auto"/>
            </w:tcBorders>
            <w:shd w:val="clear" w:color="auto" w:fill="auto"/>
            <w:vAlign w:val="bottom"/>
          </w:tcPr>
          <w:p w:rsidR="007B4C21" w:rsidRPr="007B4C21" w:rsidRDefault="007B4C21" w:rsidP="00F3235C">
            <w:pPr>
              <w:spacing w:after="160" w:line="259" w:lineRule="auto"/>
              <w:rPr>
                <w:sz w:val="18"/>
                <w:szCs w:val="18"/>
              </w:rPr>
            </w:pPr>
            <w:r w:rsidRPr="007B4C21">
              <w:rPr>
                <w:sz w:val="18"/>
                <w:szCs w:val="18"/>
              </w:rPr>
              <w:t>8</w:t>
            </w:r>
          </w:p>
        </w:tc>
        <w:tc>
          <w:tcPr>
            <w:tcW w:w="1989" w:type="dxa"/>
            <w:tcBorders>
              <w:top w:val="single" w:sz="4" w:space="0" w:color="auto"/>
              <w:left w:val="nil"/>
              <w:bottom w:val="single" w:sz="4" w:space="0" w:color="auto"/>
              <w:right w:val="single" w:sz="4" w:space="0" w:color="auto"/>
            </w:tcBorders>
          </w:tcPr>
          <w:p w:rsidR="007B4C21" w:rsidRPr="007B4C21" w:rsidRDefault="007B4C21" w:rsidP="00F3235C">
            <w:pPr>
              <w:rPr>
                <w:sz w:val="18"/>
                <w:szCs w:val="18"/>
              </w:rPr>
            </w:pPr>
            <w:r w:rsidRPr="007B4C21">
              <w:rPr>
                <w:sz w:val="18"/>
                <w:szCs w:val="18"/>
              </w:rPr>
              <w:t>Antwerpen</w:t>
            </w:r>
          </w:p>
        </w:tc>
      </w:tr>
      <w:tr w:rsidR="007B4C21" w:rsidRPr="008B07E0" w:rsidTr="00F3235C">
        <w:tc>
          <w:tcPr>
            <w:tcW w:w="0" w:type="auto"/>
          </w:tcPr>
          <w:p w:rsidR="007B4C21" w:rsidRPr="007B4C21" w:rsidRDefault="007B4C21" w:rsidP="00F3235C">
            <w:pPr>
              <w:spacing w:after="160" w:line="259" w:lineRule="auto"/>
              <w:rPr>
                <w:b/>
                <w:sz w:val="18"/>
                <w:szCs w:val="18"/>
              </w:rPr>
            </w:pPr>
            <w:r w:rsidRPr="007B4C21">
              <w:rPr>
                <w:b/>
                <w:sz w:val="18"/>
                <w:szCs w:val="18"/>
              </w:rPr>
              <w:t>7</w:t>
            </w:r>
          </w:p>
        </w:tc>
        <w:tc>
          <w:tcPr>
            <w:tcW w:w="0" w:type="auto"/>
            <w:tcBorders>
              <w:top w:val="single" w:sz="4" w:space="0" w:color="auto"/>
              <w:left w:val="nil"/>
              <w:bottom w:val="single" w:sz="4" w:space="0" w:color="auto"/>
              <w:right w:val="single" w:sz="4" w:space="0" w:color="auto"/>
            </w:tcBorders>
            <w:shd w:val="clear" w:color="auto" w:fill="auto"/>
            <w:vAlign w:val="bottom"/>
          </w:tcPr>
          <w:p w:rsidR="007B4C21" w:rsidRPr="007B4C21" w:rsidRDefault="007B4C21" w:rsidP="00F3235C">
            <w:pPr>
              <w:spacing w:after="160" w:line="259" w:lineRule="auto"/>
              <w:rPr>
                <w:sz w:val="18"/>
                <w:szCs w:val="18"/>
              </w:rPr>
            </w:pPr>
            <w:r w:rsidRPr="007B4C21">
              <w:rPr>
                <w:sz w:val="18"/>
                <w:szCs w:val="18"/>
              </w:rPr>
              <w:t>11</w:t>
            </w:r>
          </w:p>
        </w:tc>
        <w:tc>
          <w:tcPr>
            <w:tcW w:w="1989" w:type="dxa"/>
            <w:tcBorders>
              <w:top w:val="single" w:sz="4" w:space="0" w:color="auto"/>
              <w:left w:val="nil"/>
              <w:bottom w:val="single" w:sz="4" w:space="0" w:color="auto"/>
              <w:right w:val="single" w:sz="4" w:space="0" w:color="auto"/>
            </w:tcBorders>
          </w:tcPr>
          <w:p w:rsidR="007B4C21" w:rsidRPr="007B4C21" w:rsidRDefault="007B4C21" w:rsidP="00F3235C">
            <w:pPr>
              <w:rPr>
                <w:sz w:val="18"/>
                <w:szCs w:val="18"/>
              </w:rPr>
            </w:pPr>
            <w:r w:rsidRPr="007B4C21">
              <w:rPr>
                <w:sz w:val="18"/>
                <w:szCs w:val="18"/>
              </w:rPr>
              <w:t>Destelbergen</w:t>
            </w:r>
          </w:p>
        </w:tc>
      </w:tr>
      <w:tr w:rsidR="007B4C21" w:rsidRPr="008B07E0" w:rsidTr="00F3235C">
        <w:tc>
          <w:tcPr>
            <w:tcW w:w="0" w:type="auto"/>
          </w:tcPr>
          <w:p w:rsidR="007B4C21" w:rsidRPr="007B4C21" w:rsidRDefault="007B4C21" w:rsidP="00F3235C">
            <w:pPr>
              <w:spacing w:after="160" w:line="259" w:lineRule="auto"/>
              <w:rPr>
                <w:b/>
                <w:sz w:val="18"/>
                <w:szCs w:val="18"/>
              </w:rPr>
            </w:pPr>
            <w:r w:rsidRPr="007B4C21">
              <w:rPr>
                <w:b/>
                <w:sz w:val="18"/>
                <w:szCs w:val="18"/>
              </w:rPr>
              <w:t>8</w:t>
            </w:r>
          </w:p>
        </w:tc>
        <w:tc>
          <w:tcPr>
            <w:tcW w:w="0" w:type="auto"/>
            <w:tcBorders>
              <w:top w:val="single" w:sz="4" w:space="0" w:color="auto"/>
              <w:left w:val="nil"/>
              <w:bottom w:val="single" w:sz="4" w:space="0" w:color="auto"/>
              <w:right w:val="single" w:sz="4" w:space="0" w:color="auto"/>
            </w:tcBorders>
            <w:shd w:val="clear" w:color="auto" w:fill="auto"/>
            <w:vAlign w:val="bottom"/>
          </w:tcPr>
          <w:p w:rsidR="007B4C21" w:rsidRPr="007B4C21" w:rsidRDefault="007B4C21" w:rsidP="00F3235C">
            <w:pPr>
              <w:spacing w:after="160" w:line="259" w:lineRule="auto"/>
              <w:rPr>
                <w:sz w:val="18"/>
                <w:szCs w:val="18"/>
              </w:rPr>
            </w:pPr>
            <w:r w:rsidRPr="007B4C21">
              <w:rPr>
                <w:sz w:val="18"/>
                <w:szCs w:val="18"/>
              </w:rPr>
              <w:t>13</w:t>
            </w:r>
          </w:p>
        </w:tc>
        <w:tc>
          <w:tcPr>
            <w:tcW w:w="1989" w:type="dxa"/>
            <w:tcBorders>
              <w:top w:val="single" w:sz="4" w:space="0" w:color="auto"/>
              <w:left w:val="nil"/>
              <w:bottom w:val="single" w:sz="4" w:space="0" w:color="auto"/>
              <w:right w:val="single" w:sz="4" w:space="0" w:color="auto"/>
            </w:tcBorders>
          </w:tcPr>
          <w:p w:rsidR="007B4C21" w:rsidRPr="007B4C21" w:rsidRDefault="007B4C21" w:rsidP="00F3235C">
            <w:pPr>
              <w:rPr>
                <w:sz w:val="18"/>
                <w:szCs w:val="18"/>
              </w:rPr>
            </w:pPr>
            <w:r w:rsidRPr="007B4C21">
              <w:rPr>
                <w:sz w:val="18"/>
                <w:szCs w:val="18"/>
              </w:rPr>
              <w:t>Rijkevorsel</w:t>
            </w:r>
          </w:p>
        </w:tc>
      </w:tr>
      <w:tr w:rsidR="007B4C21" w:rsidRPr="008B07E0" w:rsidTr="00F3235C">
        <w:tc>
          <w:tcPr>
            <w:tcW w:w="0" w:type="auto"/>
          </w:tcPr>
          <w:p w:rsidR="007B4C21" w:rsidRPr="007B4C21" w:rsidRDefault="007B4C21" w:rsidP="00F3235C">
            <w:pPr>
              <w:spacing w:after="160" w:line="259" w:lineRule="auto"/>
              <w:rPr>
                <w:b/>
                <w:sz w:val="18"/>
                <w:szCs w:val="18"/>
              </w:rPr>
            </w:pPr>
            <w:r w:rsidRPr="007B4C21">
              <w:rPr>
                <w:b/>
                <w:sz w:val="18"/>
                <w:szCs w:val="18"/>
              </w:rPr>
              <w:t>9</w:t>
            </w:r>
          </w:p>
        </w:tc>
        <w:tc>
          <w:tcPr>
            <w:tcW w:w="0" w:type="auto"/>
            <w:tcBorders>
              <w:top w:val="single" w:sz="4" w:space="0" w:color="auto"/>
              <w:left w:val="nil"/>
              <w:bottom w:val="single" w:sz="4" w:space="0" w:color="auto"/>
              <w:right w:val="single" w:sz="4" w:space="0" w:color="auto"/>
            </w:tcBorders>
            <w:shd w:val="clear" w:color="auto" w:fill="auto"/>
            <w:vAlign w:val="bottom"/>
          </w:tcPr>
          <w:p w:rsidR="007B4C21" w:rsidRPr="007B4C21" w:rsidRDefault="007B4C21" w:rsidP="00F3235C">
            <w:pPr>
              <w:spacing w:after="160" w:line="259" w:lineRule="auto"/>
              <w:rPr>
                <w:sz w:val="18"/>
                <w:szCs w:val="18"/>
              </w:rPr>
            </w:pPr>
            <w:r w:rsidRPr="007B4C21">
              <w:rPr>
                <w:sz w:val="18"/>
                <w:szCs w:val="18"/>
              </w:rPr>
              <w:t>6</w:t>
            </w:r>
          </w:p>
        </w:tc>
        <w:tc>
          <w:tcPr>
            <w:tcW w:w="1989" w:type="dxa"/>
            <w:tcBorders>
              <w:top w:val="single" w:sz="4" w:space="0" w:color="auto"/>
              <w:left w:val="nil"/>
              <w:bottom w:val="single" w:sz="4" w:space="0" w:color="auto"/>
              <w:right w:val="single" w:sz="4" w:space="0" w:color="auto"/>
            </w:tcBorders>
          </w:tcPr>
          <w:p w:rsidR="007B4C21" w:rsidRPr="007B4C21" w:rsidRDefault="007B4C21" w:rsidP="00F3235C">
            <w:pPr>
              <w:rPr>
                <w:sz w:val="18"/>
                <w:szCs w:val="18"/>
              </w:rPr>
            </w:pPr>
            <w:r w:rsidRPr="007B4C21">
              <w:rPr>
                <w:sz w:val="18"/>
                <w:szCs w:val="18"/>
              </w:rPr>
              <w:t>Huldenberg</w:t>
            </w:r>
          </w:p>
        </w:tc>
      </w:tr>
      <w:tr w:rsidR="007B4C21" w:rsidRPr="008B07E0" w:rsidTr="00F3235C">
        <w:tc>
          <w:tcPr>
            <w:tcW w:w="0" w:type="auto"/>
          </w:tcPr>
          <w:p w:rsidR="007B4C21" w:rsidRPr="007B4C21" w:rsidRDefault="007B4C21" w:rsidP="00F3235C">
            <w:pPr>
              <w:spacing w:after="160" w:line="259" w:lineRule="auto"/>
              <w:rPr>
                <w:b/>
                <w:sz w:val="18"/>
                <w:szCs w:val="18"/>
              </w:rPr>
            </w:pPr>
            <w:r w:rsidRPr="007B4C21">
              <w:rPr>
                <w:b/>
                <w:sz w:val="18"/>
                <w:szCs w:val="18"/>
              </w:rPr>
              <w:t>10</w:t>
            </w:r>
          </w:p>
        </w:tc>
        <w:tc>
          <w:tcPr>
            <w:tcW w:w="0" w:type="auto"/>
            <w:tcBorders>
              <w:top w:val="single" w:sz="4" w:space="0" w:color="auto"/>
              <w:left w:val="nil"/>
              <w:bottom w:val="single" w:sz="4" w:space="0" w:color="auto"/>
              <w:right w:val="single" w:sz="4" w:space="0" w:color="auto"/>
            </w:tcBorders>
            <w:shd w:val="clear" w:color="auto" w:fill="auto"/>
            <w:vAlign w:val="bottom"/>
          </w:tcPr>
          <w:p w:rsidR="007B4C21" w:rsidRPr="007B4C21" w:rsidRDefault="007B4C21" w:rsidP="00F3235C">
            <w:pPr>
              <w:spacing w:after="160" w:line="259" w:lineRule="auto"/>
              <w:rPr>
                <w:sz w:val="18"/>
                <w:szCs w:val="18"/>
              </w:rPr>
            </w:pPr>
            <w:r w:rsidRPr="007B4C21">
              <w:rPr>
                <w:sz w:val="18"/>
                <w:szCs w:val="18"/>
              </w:rPr>
              <w:t>10</w:t>
            </w:r>
          </w:p>
        </w:tc>
        <w:tc>
          <w:tcPr>
            <w:tcW w:w="1989" w:type="dxa"/>
            <w:tcBorders>
              <w:top w:val="single" w:sz="4" w:space="0" w:color="auto"/>
              <w:left w:val="nil"/>
              <w:bottom w:val="single" w:sz="4" w:space="0" w:color="auto"/>
              <w:right w:val="single" w:sz="4" w:space="0" w:color="auto"/>
            </w:tcBorders>
          </w:tcPr>
          <w:p w:rsidR="007B4C21" w:rsidRPr="007B4C21" w:rsidRDefault="007B4C21" w:rsidP="00F3235C">
            <w:pPr>
              <w:rPr>
                <w:sz w:val="18"/>
                <w:szCs w:val="18"/>
              </w:rPr>
            </w:pPr>
            <w:r w:rsidRPr="007B4C21">
              <w:rPr>
                <w:sz w:val="18"/>
                <w:szCs w:val="18"/>
              </w:rPr>
              <w:t>Zoersel</w:t>
            </w:r>
          </w:p>
        </w:tc>
      </w:tr>
      <w:tr w:rsidR="007B4C21" w:rsidRPr="008B07E0" w:rsidTr="00F3235C">
        <w:tc>
          <w:tcPr>
            <w:tcW w:w="0" w:type="auto"/>
          </w:tcPr>
          <w:p w:rsidR="007B4C21" w:rsidRPr="007B4C21" w:rsidRDefault="007B4C21" w:rsidP="00F3235C">
            <w:pPr>
              <w:spacing w:after="160" w:line="259" w:lineRule="auto"/>
              <w:rPr>
                <w:b/>
                <w:sz w:val="18"/>
                <w:szCs w:val="18"/>
              </w:rPr>
            </w:pPr>
            <w:r w:rsidRPr="007B4C21">
              <w:rPr>
                <w:b/>
                <w:sz w:val="18"/>
                <w:szCs w:val="18"/>
              </w:rPr>
              <w:t>11</w:t>
            </w:r>
          </w:p>
        </w:tc>
        <w:tc>
          <w:tcPr>
            <w:tcW w:w="0" w:type="auto"/>
            <w:tcBorders>
              <w:top w:val="single" w:sz="4" w:space="0" w:color="auto"/>
              <w:left w:val="nil"/>
              <w:bottom w:val="single" w:sz="4" w:space="0" w:color="auto"/>
              <w:right w:val="single" w:sz="4" w:space="0" w:color="auto"/>
            </w:tcBorders>
            <w:shd w:val="clear" w:color="auto" w:fill="auto"/>
            <w:vAlign w:val="bottom"/>
          </w:tcPr>
          <w:p w:rsidR="007B4C21" w:rsidRPr="007B4C21" w:rsidRDefault="007B4C21" w:rsidP="00F3235C">
            <w:pPr>
              <w:spacing w:after="160" w:line="259" w:lineRule="auto"/>
              <w:rPr>
                <w:sz w:val="18"/>
                <w:szCs w:val="18"/>
              </w:rPr>
            </w:pPr>
            <w:r w:rsidRPr="007B4C21">
              <w:rPr>
                <w:sz w:val="18"/>
                <w:szCs w:val="18"/>
              </w:rPr>
              <w:t>10</w:t>
            </w:r>
          </w:p>
        </w:tc>
        <w:tc>
          <w:tcPr>
            <w:tcW w:w="1989" w:type="dxa"/>
            <w:tcBorders>
              <w:top w:val="single" w:sz="4" w:space="0" w:color="auto"/>
              <w:left w:val="nil"/>
              <w:bottom w:val="single" w:sz="4" w:space="0" w:color="auto"/>
              <w:right w:val="single" w:sz="4" w:space="0" w:color="auto"/>
            </w:tcBorders>
          </w:tcPr>
          <w:p w:rsidR="007B4C21" w:rsidRPr="007B4C21" w:rsidRDefault="007B4C21" w:rsidP="00F3235C">
            <w:pPr>
              <w:rPr>
                <w:sz w:val="18"/>
                <w:szCs w:val="18"/>
              </w:rPr>
            </w:pPr>
            <w:r w:rsidRPr="007B4C21">
              <w:rPr>
                <w:sz w:val="18"/>
                <w:szCs w:val="18"/>
              </w:rPr>
              <w:t>Antwerpen</w:t>
            </w:r>
          </w:p>
        </w:tc>
      </w:tr>
      <w:tr w:rsidR="007B4C21" w:rsidRPr="008B07E0" w:rsidTr="00F3235C">
        <w:tc>
          <w:tcPr>
            <w:tcW w:w="0" w:type="auto"/>
          </w:tcPr>
          <w:p w:rsidR="007B4C21" w:rsidRPr="007B4C21" w:rsidRDefault="007B4C21" w:rsidP="00F3235C">
            <w:pPr>
              <w:spacing w:after="160" w:line="259" w:lineRule="auto"/>
              <w:rPr>
                <w:b/>
                <w:sz w:val="18"/>
                <w:szCs w:val="18"/>
              </w:rPr>
            </w:pPr>
            <w:r w:rsidRPr="007B4C21">
              <w:rPr>
                <w:b/>
                <w:sz w:val="18"/>
                <w:szCs w:val="18"/>
              </w:rPr>
              <w:t>12</w:t>
            </w:r>
          </w:p>
        </w:tc>
        <w:tc>
          <w:tcPr>
            <w:tcW w:w="0" w:type="auto"/>
            <w:tcBorders>
              <w:top w:val="single" w:sz="4" w:space="0" w:color="auto"/>
              <w:left w:val="nil"/>
              <w:bottom w:val="single" w:sz="4" w:space="0" w:color="auto"/>
              <w:right w:val="single" w:sz="4" w:space="0" w:color="auto"/>
            </w:tcBorders>
            <w:shd w:val="clear" w:color="auto" w:fill="auto"/>
            <w:vAlign w:val="bottom"/>
          </w:tcPr>
          <w:p w:rsidR="007B4C21" w:rsidRPr="007B4C21" w:rsidRDefault="007B4C21" w:rsidP="00F3235C">
            <w:pPr>
              <w:spacing w:after="160" w:line="259" w:lineRule="auto"/>
              <w:rPr>
                <w:sz w:val="18"/>
                <w:szCs w:val="18"/>
              </w:rPr>
            </w:pPr>
            <w:r w:rsidRPr="007B4C21">
              <w:rPr>
                <w:sz w:val="18"/>
                <w:szCs w:val="18"/>
              </w:rPr>
              <w:t>18</w:t>
            </w:r>
          </w:p>
        </w:tc>
        <w:tc>
          <w:tcPr>
            <w:tcW w:w="1989" w:type="dxa"/>
            <w:tcBorders>
              <w:top w:val="single" w:sz="4" w:space="0" w:color="auto"/>
              <w:left w:val="nil"/>
              <w:bottom w:val="single" w:sz="4" w:space="0" w:color="auto"/>
              <w:right w:val="single" w:sz="4" w:space="0" w:color="auto"/>
            </w:tcBorders>
          </w:tcPr>
          <w:p w:rsidR="007B4C21" w:rsidRPr="007B4C21" w:rsidRDefault="007B4C21" w:rsidP="00F3235C">
            <w:pPr>
              <w:rPr>
                <w:sz w:val="18"/>
                <w:szCs w:val="18"/>
              </w:rPr>
            </w:pPr>
            <w:r w:rsidRPr="007B4C21">
              <w:rPr>
                <w:sz w:val="18"/>
                <w:szCs w:val="18"/>
              </w:rPr>
              <w:t>Gent</w:t>
            </w:r>
          </w:p>
        </w:tc>
      </w:tr>
      <w:tr w:rsidR="007B4C21" w:rsidRPr="008B07E0" w:rsidTr="00F3235C">
        <w:tc>
          <w:tcPr>
            <w:tcW w:w="0" w:type="auto"/>
          </w:tcPr>
          <w:p w:rsidR="007B4C21" w:rsidRPr="007B4C21" w:rsidRDefault="007B4C21" w:rsidP="00F3235C">
            <w:pPr>
              <w:spacing w:after="160" w:line="259" w:lineRule="auto"/>
              <w:rPr>
                <w:b/>
                <w:sz w:val="18"/>
                <w:szCs w:val="18"/>
              </w:rPr>
            </w:pPr>
            <w:r w:rsidRPr="007B4C21">
              <w:rPr>
                <w:b/>
                <w:sz w:val="18"/>
                <w:szCs w:val="18"/>
              </w:rPr>
              <w:t>13</w:t>
            </w:r>
          </w:p>
        </w:tc>
        <w:tc>
          <w:tcPr>
            <w:tcW w:w="0" w:type="auto"/>
            <w:tcBorders>
              <w:top w:val="single" w:sz="4" w:space="0" w:color="auto"/>
              <w:left w:val="nil"/>
              <w:bottom w:val="single" w:sz="4" w:space="0" w:color="auto"/>
              <w:right w:val="single" w:sz="4" w:space="0" w:color="auto"/>
            </w:tcBorders>
            <w:shd w:val="clear" w:color="auto" w:fill="auto"/>
            <w:vAlign w:val="bottom"/>
          </w:tcPr>
          <w:p w:rsidR="007B4C21" w:rsidRPr="007B4C21" w:rsidRDefault="007B4C21" w:rsidP="00F3235C">
            <w:pPr>
              <w:spacing w:after="160" w:line="259" w:lineRule="auto"/>
              <w:rPr>
                <w:sz w:val="18"/>
                <w:szCs w:val="18"/>
              </w:rPr>
            </w:pPr>
            <w:r w:rsidRPr="007B4C21">
              <w:rPr>
                <w:sz w:val="18"/>
                <w:szCs w:val="18"/>
              </w:rPr>
              <w:t>18</w:t>
            </w:r>
          </w:p>
        </w:tc>
        <w:tc>
          <w:tcPr>
            <w:tcW w:w="1989" w:type="dxa"/>
            <w:tcBorders>
              <w:top w:val="single" w:sz="4" w:space="0" w:color="auto"/>
              <w:left w:val="nil"/>
              <w:bottom w:val="single" w:sz="4" w:space="0" w:color="auto"/>
              <w:right w:val="single" w:sz="4" w:space="0" w:color="auto"/>
            </w:tcBorders>
          </w:tcPr>
          <w:p w:rsidR="007B4C21" w:rsidRPr="007B4C21" w:rsidRDefault="007B4C21" w:rsidP="00F3235C">
            <w:pPr>
              <w:rPr>
                <w:sz w:val="18"/>
                <w:szCs w:val="18"/>
              </w:rPr>
            </w:pPr>
            <w:r w:rsidRPr="007B4C21">
              <w:rPr>
                <w:sz w:val="18"/>
                <w:szCs w:val="18"/>
              </w:rPr>
              <w:t>Gent</w:t>
            </w:r>
          </w:p>
        </w:tc>
      </w:tr>
      <w:tr w:rsidR="007B4C21" w:rsidRPr="008B07E0" w:rsidTr="00F3235C">
        <w:tc>
          <w:tcPr>
            <w:tcW w:w="0" w:type="auto"/>
          </w:tcPr>
          <w:p w:rsidR="007B4C21" w:rsidRPr="007B4C21" w:rsidRDefault="007B4C21" w:rsidP="00F3235C">
            <w:pPr>
              <w:rPr>
                <w:b/>
                <w:sz w:val="18"/>
                <w:szCs w:val="18"/>
              </w:rPr>
            </w:pPr>
            <w:r w:rsidRPr="007B4C21">
              <w:rPr>
                <w:b/>
                <w:sz w:val="18"/>
                <w:szCs w:val="18"/>
              </w:rPr>
              <w:t>14</w:t>
            </w:r>
          </w:p>
        </w:tc>
        <w:tc>
          <w:tcPr>
            <w:tcW w:w="0" w:type="auto"/>
            <w:tcBorders>
              <w:top w:val="single" w:sz="4" w:space="0" w:color="auto"/>
              <w:left w:val="nil"/>
              <w:bottom w:val="single" w:sz="4" w:space="0" w:color="auto"/>
              <w:right w:val="single" w:sz="4" w:space="0" w:color="auto"/>
            </w:tcBorders>
            <w:shd w:val="clear" w:color="auto" w:fill="auto"/>
            <w:vAlign w:val="bottom"/>
          </w:tcPr>
          <w:p w:rsidR="007B4C21" w:rsidRPr="007B4C21" w:rsidRDefault="007B4C21" w:rsidP="00F3235C">
            <w:pPr>
              <w:rPr>
                <w:sz w:val="18"/>
                <w:szCs w:val="18"/>
              </w:rPr>
            </w:pPr>
            <w:r w:rsidRPr="007B4C21">
              <w:rPr>
                <w:sz w:val="18"/>
                <w:szCs w:val="18"/>
              </w:rPr>
              <w:t>10</w:t>
            </w:r>
          </w:p>
          <w:p w:rsidR="007B4C21" w:rsidRPr="007B4C21" w:rsidRDefault="007B4C21" w:rsidP="00F3235C">
            <w:pPr>
              <w:rPr>
                <w:sz w:val="18"/>
                <w:szCs w:val="18"/>
              </w:rPr>
            </w:pPr>
          </w:p>
        </w:tc>
        <w:tc>
          <w:tcPr>
            <w:tcW w:w="1989" w:type="dxa"/>
            <w:tcBorders>
              <w:top w:val="single" w:sz="4" w:space="0" w:color="auto"/>
              <w:left w:val="nil"/>
              <w:bottom w:val="single" w:sz="4" w:space="0" w:color="auto"/>
              <w:right w:val="single" w:sz="4" w:space="0" w:color="auto"/>
            </w:tcBorders>
          </w:tcPr>
          <w:p w:rsidR="007B4C21" w:rsidRPr="007B4C21" w:rsidRDefault="007B4C21" w:rsidP="00F3235C">
            <w:pPr>
              <w:rPr>
                <w:sz w:val="18"/>
                <w:szCs w:val="18"/>
              </w:rPr>
            </w:pPr>
            <w:r w:rsidRPr="007B4C21">
              <w:rPr>
                <w:sz w:val="18"/>
                <w:szCs w:val="18"/>
              </w:rPr>
              <w:t>Zemst</w:t>
            </w:r>
          </w:p>
        </w:tc>
      </w:tr>
      <w:tr w:rsidR="007B4C21" w:rsidRPr="008B07E0" w:rsidTr="00F3235C">
        <w:tc>
          <w:tcPr>
            <w:tcW w:w="0" w:type="auto"/>
          </w:tcPr>
          <w:p w:rsidR="007B4C21" w:rsidRPr="007B4C21" w:rsidRDefault="007B4C21" w:rsidP="00F3235C">
            <w:pPr>
              <w:rPr>
                <w:b/>
                <w:sz w:val="18"/>
                <w:szCs w:val="18"/>
              </w:rPr>
            </w:pPr>
            <w:r w:rsidRPr="007B4C21">
              <w:rPr>
                <w:b/>
                <w:sz w:val="18"/>
                <w:szCs w:val="18"/>
              </w:rPr>
              <w:t>15</w:t>
            </w:r>
          </w:p>
        </w:tc>
        <w:tc>
          <w:tcPr>
            <w:tcW w:w="0" w:type="auto"/>
            <w:tcBorders>
              <w:top w:val="single" w:sz="4" w:space="0" w:color="auto"/>
              <w:left w:val="nil"/>
              <w:bottom w:val="single" w:sz="4" w:space="0" w:color="auto"/>
              <w:right w:val="single" w:sz="4" w:space="0" w:color="auto"/>
            </w:tcBorders>
            <w:shd w:val="clear" w:color="auto" w:fill="auto"/>
            <w:vAlign w:val="bottom"/>
          </w:tcPr>
          <w:p w:rsidR="007B4C21" w:rsidRPr="007B4C21" w:rsidRDefault="007B4C21" w:rsidP="00F3235C">
            <w:pPr>
              <w:rPr>
                <w:sz w:val="18"/>
                <w:szCs w:val="18"/>
              </w:rPr>
            </w:pPr>
            <w:r w:rsidRPr="007B4C21">
              <w:rPr>
                <w:sz w:val="18"/>
                <w:szCs w:val="18"/>
              </w:rPr>
              <w:t>11</w:t>
            </w:r>
          </w:p>
          <w:p w:rsidR="007B4C21" w:rsidRPr="007B4C21" w:rsidRDefault="007B4C21" w:rsidP="00F3235C">
            <w:pPr>
              <w:rPr>
                <w:sz w:val="18"/>
                <w:szCs w:val="18"/>
              </w:rPr>
            </w:pPr>
          </w:p>
        </w:tc>
        <w:tc>
          <w:tcPr>
            <w:tcW w:w="1989" w:type="dxa"/>
            <w:tcBorders>
              <w:top w:val="single" w:sz="4" w:space="0" w:color="auto"/>
              <w:left w:val="nil"/>
              <w:bottom w:val="single" w:sz="4" w:space="0" w:color="auto"/>
              <w:right w:val="single" w:sz="4" w:space="0" w:color="auto"/>
            </w:tcBorders>
          </w:tcPr>
          <w:p w:rsidR="007B4C21" w:rsidRPr="007B4C21" w:rsidRDefault="007B4C21" w:rsidP="00F3235C">
            <w:pPr>
              <w:rPr>
                <w:sz w:val="18"/>
                <w:szCs w:val="18"/>
              </w:rPr>
            </w:pPr>
            <w:r w:rsidRPr="007B4C21">
              <w:rPr>
                <w:sz w:val="18"/>
                <w:szCs w:val="18"/>
              </w:rPr>
              <w:t>Destelbergen</w:t>
            </w:r>
          </w:p>
        </w:tc>
      </w:tr>
      <w:tr w:rsidR="007B4C21" w:rsidRPr="008B07E0" w:rsidTr="00F3235C">
        <w:tc>
          <w:tcPr>
            <w:tcW w:w="0" w:type="auto"/>
          </w:tcPr>
          <w:p w:rsidR="007B4C21" w:rsidRPr="007B4C21" w:rsidRDefault="007B4C21" w:rsidP="00F3235C">
            <w:pPr>
              <w:rPr>
                <w:b/>
                <w:sz w:val="18"/>
                <w:szCs w:val="18"/>
              </w:rPr>
            </w:pPr>
            <w:r w:rsidRPr="007B4C21">
              <w:rPr>
                <w:b/>
                <w:sz w:val="18"/>
                <w:szCs w:val="18"/>
              </w:rPr>
              <w:t>16</w:t>
            </w:r>
          </w:p>
        </w:tc>
        <w:tc>
          <w:tcPr>
            <w:tcW w:w="0" w:type="auto"/>
            <w:tcBorders>
              <w:top w:val="single" w:sz="4" w:space="0" w:color="auto"/>
              <w:left w:val="nil"/>
              <w:bottom w:val="single" w:sz="4" w:space="0" w:color="auto"/>
              <w:right w:val="single" w:sz="4" w:space="0" w:color="auto"/>
            </w:tcBorders>
            <w:shd w:val="clear" w:color="auto" w:fill="auto"/>
            <w:vAlign w:val="bottom"/>
          </w:tcPr>
          <w:p w:rsidR="007B4C21" w:rsidRPr="007B4C21" w:rsidRDefault="007B4C21" w:rsidP="00F3235C">
            <w:pPr>
              <w:rPr>
                <w:sz w:val="18"/>
                <w:szCs w:val="18"/>
              </w:rPr>
            </w:pPr>
            <w:r w:rsidRPr="007B4C21">
              <w:rPr>
                <w:sz w:val="18"/>
                <w:szCs w:val="18"/>
              </w:rPr>
              <w:t>8</w:t>
            </w:r>
          </w:p>
          <w:p w:rsidR="007B4C21" w:rsidRPr="007B4C21" w:rsidRDefault="007B4C21" w:rsidP="00F3235C">
            <w:pPr>
              <w:rPr>
                <w:sz w:val="18"/>
                <w:szCs w:val="18"/>
              </w:rPr>
            </w:pPr>
          </w:p>
        </w:tc>
        <w:tc>
          <w:tcPr>
            <w:tcW w:w="1989" w:type="dxa"/>
            <w:tcBorders>
              <w:top w:val="single" w:sz="4" w:space="0" w:color="auto"/>
              <w:left w:val="nil"/>
              <w:bottom w:val="single" w:sz="4" w:space="0" w:color="auto"/>
              <w:right w:val="single" w:sz="4" w:space="0" w:color="auto"/>
            </w:tcBorders>
          </w:tcPr>
          <w:p w:rsidR="007B4C21" w:rsidRPr="007B4C21" w:rsidRDefault="007B4C21" w:rsidP="00F3235C">
            <w:pPr>
              <w:rPr>
                <w:sz w:val="18"/>
                <w:szCs w:val="18"/>
              </w:rPr>
            </w:pPr>
            <w:r w:rsidRPr="007B4C21">
              <w:rPr>
                <w:sz w:val="18"/>
                <w:szCs w:val="18"/>
              </w:rPr>
              <w:t>Gent</w:t>
            </w:r>
          </w:p>
        </w:tc>
      </w:tr>
      <w:tr w:rsidR="007B4C21" w:rsidRPr="008B07E0" w:rsidTr="00F3235C">
        <w:tc>
          <w:tcPr>
            <w:tcW w:w="0" w:type="auto"/>
          </w:tcPr>
          <w:p w:rsidR="007B4C21" w:rsidRPr="007B4C21" w:rsidRDefault="007B4C21" w:rsidP="00F3235C">
            <w:pPr>
              <w:spacing w:after="160" w:line="259" w:lineRule="auto"/>
              <w:rPr>
                <w:b/>
                <w:sz w:val="18"/>
                <w:szCs w:val="18"/>
              </w:rPr>
            </w:pPr>
            <w:r w:rsidRPr="007B4C21">
              <w:rPr>
                <w:b/>
                <w:sz w:val="18"/>
                <w:szCs w:val="18"/>
              </w:rPr>
              <w:t>Totaal</w:t>
            </w:r>
          </w:p>
        </w:tc>
        <w:tc>
          <w:tcPr>
            <w:tcW w:w="0" w:type="auto"/>
            <w:tcBorders>
              <w:top w:val="single" w:sz="4" w:space="0" w:color="auto"/>
              <w:left w:val="nil"/>
              <w:bottom w:val="single" w:sz="4" w:space="0" w:color="auto"/>
              <w:right w:val="single" w:sz="4" w:space="0" w:color="auto"/>
            </w:tcBorders>
            <w:shd w:val="clear" w:color="auto" w:fill="auto"/>
            <w:vAlign w:val="bottom"/>
          </w:tcPr>
          <w:p w:rsidR="007B4C21" w:rsidRPr="007B4C21" w:rsidRDefault="007B4C21" w:rsidP="00F3235C">
            <w:pPr>
              <w:spacing w:after="160" w:line="259" w:lineRule="auto"/>
              <w:rPr>
                <w:sz w:val="18"/>
                <w:szCs w:val="18"/>
              </w:rPr>
            </w:pPr>
            <w:r w:rsidRPr="007B4C21">
              <w:rPr>
                <w:sz w:val="18"/>
                <w:szCs w:val="18"/>
              </w:rPr>
              <w:t>179</w:t>
            </w:r>
          </w:p>
        </w:tc>
        <w:tc>
          <w:tcPr>
            <w:tcW w:w="1989" w:type="dxa"/>
            <w:tcBorders>
              <w:top w:val="single" w:sz="4" w:space="0" w:color="auto"/>
              <w:left w:val="nil"/>
              <w:bottom w:val="single" w:sz="4" w:space="0" w:color="auto"/>
              <w:right w:val="single" w:sz="4" w:space="0" w:color="auto"/>
            </w:tcBorders>
          </w:tcPr>
          <w:p w:rsidR="007B4C21" w:rsidRPr="007B4C21" w:rsidRDefault="007B4C21" w:rsidP="00F3235C">
            <w:pPr>
              <w:rPr>
                <w:sz w:val="18"/>
                <w:szCs w:val="18"/>
              </w:rPr>
            </w:pPr>
          </w:p>
        </w:tc>
      </w:tr>
    </w:tbl>
    <w:p w:rsidR="007B4C21" w:rsidRDefault="007B4C21" w:rsidP="007B4C21">
      <w:pPr>
        <w:pStyle w:val="Lijstalinea"/>
      </w:pPr>
    </w:p>
    <w:p w:rsidR="007B4C21" w:rsidRPr="007B4C21" w:rsidRDefault="007B4C21" w:rsidP="007B4C21">
      <w:pPr>
        <w:pStyle w:val="Lijstalinea"/>
        <w:numPr>
          <w:ilvl w:val="1"/>
          <w:numId w:val="1"/>
        </w:numPr>
        <w:rPr>
          <w:b/>
        </w:rPr>
      </w:pPr>
      <w:r w:rsidRPr="007B4C21">
        <w:rPr>
          <w:b/>
        </w:rPr>
        <w:lastRenderedPageBreak/>
        <w:t>Evaluatie verloop LOK vormin</w:t>
      </w:r>
      <w:r>
        <w:rPr>
          <w:b/>
        </w:rPr>
        <w:t>g</w:t>
      </w:r>
    </w:p>
    <w:p w:rsidR="007B4C21" w:rsidRDefault="007B4C21" w:rsidP="007B4C21">
      <w:pPr>
        <w:rPr>
          <w:b/>
        </w:rPr>
      </w:pPr>
      <w:r>
        <w:rPr>
          <w:noProof/>
          <w:lang w:eastAsia="nl-BE"/>
        </w:rPr>
        <w:drawing>
          <wp:inline distT="0" distB="0" distL="0" distR="0" wp14:anchorId="0451DB82" wp14:editId="535EC292">
            <wp:extent cx="3985147" cy="2688552"/>
            <wp:effectExtent l="0" t="0" r="15875" b="17145"/>
            <wp:docPr id="20" name="Grafiek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r>
        <w:rPr>
          <w:noProof/>
          <w:lang w:eastAsia="nl-BE"/>
        </w:rPr>
        <w:drawing>
          <wp:inline distT="0" distB="0" distL="0" distR="0" wp14:anchorId="45DE573E" wp14:editId="7DC5C7C0">
            <wp:extent cx="4531056" cy="2674961"/>
            <wp:effectExtent l="0" t="0" r="3175" b="11430"/>
            <wp:docPr id="21" name="Grafiek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7B4C21" w:rsidRPr="007B4C21" w:rsidRDefault="007B4C21" w:rsidP="007B4C21">
      <w:pPr>
        <w:rPr>
          <w:b/>
        </w:rPr>
      </w:pPr>
      <w:r>
        <w:rPr>
          <w:noProof/>
          <w:lang w:eastAsia="nl-BE"/>
        </w:rPr>
        <w:drawing>
          <wp:inline distT="0" distB="0" distL="0" distR="0" wp14:anchorId="0D45085E" wp14:editId="4A019F94">
            <wp:extent cx="4012442" cy="2565059"/>
            <wp:effectExtent l="0" t="0" r="7620" b="6985"/>
            <wp:docPr id="22" name="Grafiek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r>
        <w:rPr>
          <w:noProof/>
          <w:lang w:eastAsia="nl-BE"/>
        </w:rPr>
        <w:drawing>
          <wp:inline distT="0" distB="0" distL="0" distR="0" wp14:anchorId="5C21B060" wp14:editId="13783BB4">
            <wp:extent cx="4531057" cy="2565068"/>
            <wp:effectExtent l="0" t="0" r="3175" b="6985"/>
            <wp:docPr id="23" name="Grafiek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1B0816" w:rsidRDefault="001B0816" w:rsidP="00281D0D">
      <w:pPr>
        <w:pStyle w:val="Lijstalinea"/>
        <w:numPr>
          <w:ilvl w:val="0"/>
          <w:numId w:val="1"/>
        </w:numPr>
        <w:jc w:val="both"/>
        <w:rPr>
          <w:b/>
        </w:rPr>
      </w:pPr>
      <w:r>
        <w:rPr>
          <w:b/>
        </w:rPr>
        <w:lastRenderedPageBreak/>
        <w:t>Conclusie</w:t>
      </w:r>
    </w:p>
    <w:p w:rsidR="001B0816" w:rsidRDefault="001B0816" w:rsidP="00281D0D">
      <w:pPr>
        <w:jc w:val="both"/>
      </w:pPr>
      <w:r w:rsidRPr="001B0816">
        <w:t xml:space="preserve">Algemeen werd de </w:t>
      </w:r>
      <w:r w:rsidR="006D4204">
        <w:t xml:space="preserve">LOK vorming positief geëvalueerd en werden de leerdoelen die betrekking hebben op kennisverwerving bereikt. Graag had men wel meer info over de nieuwe re-integratie wetgeving. </w:t>
      </w:r>
    </w:p>
    <w:p w:rsidR="006D4204" w:rsidRPr="001B0816" w:rsidRDefault="006D4204" w:rsidP="00281D0D">
      <w:pPr>
        <w:jc w:val="both"/>
      </w:pPr>
      <w:r>
        <w:t xml:space="preserve">De organisatie van multidisciplinaire vormingen die zowel gegeven als bijgewoond worden door huisartsen en klinisch </w:t>
      </w:r>
      <w:r w:rsidR="00281D0D">
        <w:t xml:space="preserve">psychologen bleek </w:t>
      </w:r>
      <w:r w:rsidR="00F11B25">
        <w:t xml:space="preserve">een </w:t>
      </w:r>
      <w:r w:rsidR="00281D0D">
        <w:t xml:space="preserve">grote uitdaging. Tot op heden was het aantal psychologen dat deelnam aan de vormingen beperkt. </w:t>
      </w:r>
      <w:r w:rsidR="00281D0D" w:rsidRPr="006672FD">
        <w:t xml:space="preserve">De VVKP zal </w:t>
      </w:r>
      <w:r w:rsidR="00281D0D">
        <w:t xml:space="preserve">daarom </w:t>
      </w:r>
      <w:r w:rsidR="00281D0D" w:rsidRPr="006672FD">
        <w:t>bijkomend inzetten op het bereiken van klinisch psychologen. Dit door de flyer met de data van de LOK vormingen die doorgaan, die nu naar de kringvoorzitters wordt gestuurd op de website te plaatsen. De flyer zal gelinkt worden aan een meer algemeen dossier rond burn-out dat wordt uitgewerkt. De data van de LOK vormingen zullen dan ook terugkomen in d</w:t>
      </w:r>
      <w:r w:rsidR="00281D0D">
        <w:t>e algemene agenda. Bijkomend zal</w:t>
      </w:r>
      <w:r w:rsidR="00281D0D" w:rsidRPr="006672FD">
        <w:t xml:space="preserve"> een mail gestuurd worden naar alle kringleden.</w:t>
      </w:r>
    </w:p>
    <w:p w:rsidR="00281D0D" w:rsidRDefault="00281D0D" w:rsidP="00281D0D">
      <w:pPr>
        <w:jc w:val="both"/>
      </w:pPr>
      <w:r w:rsidRPr="006672FD">
        <w:t xml:space="preserve">Het enthousiasme waarmee de LOK vorming wordt onthaald, geeft aan dat het versterken van de samenwerking op veel interesse kan rekenen bij huisartsen. Met het huidige aanbod </w:t>
      </w:r>
      <w:r>
        <w:t xml:space="preserve">van 30 </w:t>
      </w:r>
      <w:proofErr w:type="spellStart"/>
      <w:r>
        <w:t>LOKs</w:t>
      </w:r>
      <w:proofErr w:type="spellEnd"/>
      <w:r>
        <w:t xml:space="preserve"> is</w:t>
      </w:r>
      <w:r w:rsidRPr="006672FD">
        <w:t xml:space="preserve"> </w:t>
      </w:r>
      <w:r>
        <w:t xml:space="preserve">de impact van de multidisciplinaire vorming </w:t>
      </w:r>
      <w:r>
        <w:t>beperkt.</w:t>
      </w:r>
      <w:r>
        <w:t xml:space="preserve"> </w:t>
      </w:r>
      <w:r>
        <w:t>Idealiter kan in de komende jaren blijvend ingezet worden</w:t>
      </w:r>
      <w:r>
        <w:t xml:space="preserve"> op de versterking van de samenwerking tussen huisartsen en psychologen aan de hand van het uitgewerkte vormingspakket. </w:t>
      </w:r>
    </w:p>
    <w:p w:rsidR="008B07E0" w:rsidRDefault="008B07E0" w:rsidP="008B07E0">
      <w:pPr>
        <w:rPr>
          <w:b/>
        </w:rPr>
      </w:pPr>
    </w:p>
    <w:p w:rsidR="008B07E0" w:rsidRPr="008B07E0" w:rsidRDefault="008B07E0" w:rsidP="008B07E0">
      <w:pPr>
        <w:rPr>
          <w:b/>
        </w:rPr>
      </w:pPr>
    </w:p>
    <w:p w:rsidR="008B07E0" w:rsidRPr="008B07E0" w:rsidRDefault="008B07E0" w:rsidP="008B07E0">
      <w:pPr>
        <w:rPr>
          <w:b/>
        </w:rPr>
      </w:pPr>
    </w:p>
    <w:p w:rsidR="008B07E0" w:rsidRPr="005C3935" w:rsidRDefault="008B07E0">
      <w:pPr>
        <w:rPr>
          <w:b/>
        </w:rPr>
      </w:pPr>
    </w:p>
    <w:sectPr w:rsidR="008B07E0" w:rsidRPr="005C3935" w:rsidSect="008B07E0">
      <w:headerReference w:type="default" r:id="rId27"/>
      <w:pgSz w:w="16838" w:h="11906" w:orient="landscape"/>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81D0D" w:rsidRDefault="00281D0D" w:rsidP="00281D0D">
      <w:pPr>
        <w:spacing w:after="0" w:line="240" w:lineRule="auto"/>
      </w:pPr>
      <w:r>
        <w:separator/>
      </w:r>
    </w:p>
  </w:endnote>
  <w:endnote w:type="continuationSeparator" w:id="0">
    <w:p w:rsidR="00281D0D" w:rsidRDefault="00281D0D" w:rsidP="00281D0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81D0D" w:rsidRDefault="00281D0D" w:rsidP="00281D0D">
      <w:pPr>
        <w:spacing w:after="0" w:line="240" w:lineRule="auto"/>
      </w:pPr>
      <w:r>
        <w:separator/>
      </w:r>
    </w:p>
  </w:footnote>
  <w:footnote w:type="continuationSeparator" w:id="0">
    <w:p w:rsidR="00281D0D" w:rsidRDefault="00281D0D" w:rsidP="00281D0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41986334"/>
      <w:docPartObj>
        <w:docPartGallery w:val="Page Numbers (Top of Page)"/>
        <w:docPartUnique/>
      </w:docPartObj>
    </w:sdtPr>
    <w:sdtContent>
      <w:p w:rsidR="00281D0D" w:rsidRDefault="00281D0D">
        <w:pPr>
          <w:pStyle w:val="Koptekst"/>
        </w:pPr>
        <w:r>
          <w:fldChar w:fldCharType="begin"/>
        </w:r>
        <w:r>
          <w:instrText>PAGE   \* MERGEFORMAT</w:instrText>
        </w:r>
        <w:r>
          <w:fldChar w:fldCharType="separate"/>
        </w:r>
        <w:r w:rsidR="00665D7A" w:rsidRPr="00665D7A">
          <w:rPr>
            <w:noProof/>
            <w:lang w:val="nl-NL"/>
          </w:rPr>
          <w:t>8</w:t>
        </w:r>
        <w:r>
          <w:fldChar w:fldCharType="end"/>
        </w:r>
      </w:p>
    </w:sdtContent>
  </w:sdt>
  <w:p w:rsidR="00281D0D" w:rsidRDefault="00281D0D">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164182"/>
    <w:multiLevelType w:val="hybridMultilevel"/>
    <w:tmpl w:val="DC9E2426"/>
    <w:lvl w:ilvl="0" w:tplc="0813000F">
      <w:start w:val="1"/>
      <w:numFmt w:val="decimal"/>
      <w:lvlText w:val="%1."/>
      <w:lvlJc w:val="left"/>
      <w:pPr>
        <w:ind w:left="720" w:hanging="360"/>
      </w:pPr>
    </w:lvl>
    <w:lvl w:ilvl="1" w:tplc="08130019">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 w15:restartNumberingAfterBreak="0">
    <w:nsid w:val="39C5698F"/>
    <w:multiLevelType w:val="hybridMultilevel"/>
    <w:tmpl w:val="E2C66582"/>
    <w:lvl w:ilvl="0" w:tplc="0813000F">
      <w:start w:val="1"/>
      <w:numFmt w:val="decimal"/>
      <w:lvlText w:val="%1."/>
      <w:lvlJc w:val="left"/>
      <w:pPr>
        <w:ind w:left="720" w:hanging="360"/>
      </w:p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2" w15:restartNumberingAfterBreak="0">
    <w:nsid w:val="4A637A93"/>
    <w:multiLevelType w:val="hybridMultilevel"/>
    <w:tmpl w:val="4C7E1150"/>
    <w:lvl w:ilvl="0" w:tplc="0813000F">
      <w:start w:val="1"/>
      <w:numFmt w:val="decimal"/>
      <w:lvlText w:val="%1."/>
      <w:lvlJc w:val="left"/>
      <w:pPr>
        <w:ind w:left="720" w:hanging="360"/>
      </w:p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B07E0"/>
    <w:rsid w:val="0001251B"/>
    <w:rsid w:val="00152DCA"/>
    <w:rsid w:val="001B0816"/>
    <w:rsid w:val="00233260"/>
    <w:rsid w:val="002501AA"/>
    <w:rsid w:val="00281D0D"/>
    <w:rsid w:val="00307DB7"/>
    <w:rsid w:val="005C3935"/>
    <w:rsid w:val="00665D7A"/>
    <w:rsid w:val="006D4204"/>
    <w:rsid w:val="007B4C21"/>
    <w:rsid w:val="008509F5"/>
    <w:rsid w:val="008B06E2"/>
    <w:rsid w:val="008B07E0"/>
    <w:rsid w:val="008E6C3C"/>
    <w:rsid w:val="00A35A5A"/>
    <w:rsid w:val="00E35F70"/>
    <w:rsid w:val="00E700F8"/>
    <w:rsid w:val="00F11B25"/>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5:chartTrackingRefBased/>
  <w15:docId w15:val="{A7C82308-C924-469F-8491-631761BB78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B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8B07E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5C3935"/>
    <w:pPr>
      <w:ind w:left="720"/>
      <w:contextualSpacing/>
    </w:pPr>
  </w:style>
  <w:style w:type="paragraph" w:styleId="Koptekst">
    <w:name w:val="header"/>
    <w:basedOn w:val="Standaard"/>
    <w:link w:val="KoptekstChar"/>
    <w:uiPriority w:val="99"/>
    <w:unhideWhenUsed/>
    <w:rsid w:val="00281D0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281D0D"/>
  </w:style>
  <w:style w:type="paragraph" w:styleId="Voettekst">
    <w:name w:val="footer"/>
    <w:basedOn w:val="Standaard"/>
    <w:link w:val="VoettekstChar"/>
    <w:uiPriority w:val="99"/>
    <w:unhideWhenUsed/>
    <w:rsid w:val="00281D0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281D0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7.xml"/><Relationship Id="rId18" Type="http://schemas.openxmlformats.org/officeDocument/2006/relationships/chart" Target="charts/chart12.xml"/><Relationship Id="rId26" Type="http://schemas.openxmlformats.org/officeDocument/2006/relationships/chart" Target="charts/chart20.xml"/><Relationship Id="rId3" Type="http://schemas.openxmlformats.org/officeDocument/2006/relationships/settings" Target="settings.xml"/><Relationship Id="rId21" Type="http://schemas.openxmlformats.org/officeDocument/2006/relationships/chart" Target="charts/chart15.xml"/><Relationship Id="rId7" Type="http://schemas.openxmlformats.org/officeDocument/2006/relationships/chart" Target="charts/chart1.xml"/><Relationship Id="rId12" Type="http://schemas.openxmlformats.org/officeDocument/2006/relationships/chart" Target="charts/chart6.xml"/><Relationship Id="rId17" Type="http://schemas.openxmlformats.org/officeDocument/2006/relationships/chart" Target="charts/chart11.xml"/><Relationship Id="rId25" Type="http://schemas.openxmlformats.org/officeDocument/2006/relationships/chart" Target="charts/chart19.xml"/><Relationship Id="rId33" Type="http://schemas.openxmlformats.org/officeDocument/2006/relationships/customXml" Target="../customXml/item4.xml"/><Relationship Id="rId2" Type="http://schemas.openxmlformats.org/officeDocument/2006/relationships/styles" Target="styles.xml"/><Relationship Id="rId16" Type="http://schemas.openxmlformats.org/officeDocument/2006/relationships/chart" Target="charts/chart10.xml"/><Relationship Id="rId20" Type="http://schemas.openxmlformats.org/officeDocument/2006/relationships/chart" Target="charts/chart14.xm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hart" Target="charts/chart5.xml"/><Relationship Id="rId24" Type="http://schemas.openxmlformats.org/officeDocument/2006/relationships/chart" Target="charts/chart18.xml"/><Relationship Id="rId32" Type="http://schemas.openxmlformats.org/officeDocument/2006/relationships/customXml" Target="../customXml/item3.xml"/><Relationship Id="rId5" Type="http://schemas.openxmlformats.org/officeDocument/2006/relationships/footnotes" Target="footnotes.xml"/><Relationship Id="rId15" Type="http://schemas.openxmlformats.org/officeDocument/2006/relationships/chart" Target="charts/chart9.xml"/><Relationship Id="rId23" Type="http://schemas.openxmlformats.org/officeDocument/2006/relationships/chart" Target="charts/chart17.xml"/><Relationship Id="rId28" Type="http://schemas.openxmlformats.org/officeDocument/2006/relationships/fontTable" Target="fontTable.xml"/><Relationship Id="rId10" Type="http://schemas.openxmlformats.org/officeDocument/2006/relationships/chart" Target="charts/chart4.xml"/><Relationship Id="rId19" Type="http://schemas.openxmlformats.org/officeDocument/2006/relationships/chart" Target="charts/chart13.xml"/><Relationship Id="rId31" Type="http://schemas.openxmlformats.org/officeDocument/2006/relationships/customXml" Target="../customXml/item2.xml"/><Relationship Id="rId4" Type="http://schemas.openxmlformats.org/officeDocument/2006/relationships/webSettings" Target="webSettings.xml"/><Relationship Id="rId9" Type="http://schemas.openxmlformats.org/officeDocument/2006/relationships/chart" Target="charts/chart3.xml"/><Relationship Id="rId14" Type="http://schemas.openxmlformats.org/officeDocument/2006/relationships/chart" Target="charts/chart8.xml"/><Relationship Id="rId22" Type="http://schemas.openxmlformats.org/officeDocument/2006/relationships/chart" Target="charts/chart16.xml"/><Relationship Id="rId27" Type="http://schemas.openxmlformats.org/officeDocument/2006/relationships/header" Target="header1.xml"/><Relationship Id="rId30" Type="http://schemas.openxmlformats.org/officeDocument/2006/relationships/customXml" Target="../customXml/item1.xml"/><Relationship Id="rId8" Type="http://schemas.openxmlformats.org/officeDocument/2006/relationships/chart" Target="charts/chart2.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werkblad1.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werkblad2.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werkblad3.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werkblad4.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werkblad5.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werkblad6.xlsx"/><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werkblad7.xlsx"/><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package" Target="../embeddings/Microsoft_Excel-werkblad8.xlsx"/><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package" Target="../embeddings/Microsoft_Excel-werkblad9.xlsx"/><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package" Target="../embeddings/Microsoft_Excel-werkblad10.xlsx"/><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package" Target="../embeddings/Microsoft_Excel-werkblad11.xlsx"/><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package" Target="../embeddings/Microsoft_Excel-werkblad12.xlsx"/><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package" Target="../embeddings/Microsoft_Excel-werkblad13.xlsx"/><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package" Target="../embeddings/Microsoft_Excel-werkblad14.xlsx"/><Relationship Id="rId2" Type="http://schemas.microsoft.com/office/2011/relationships/chartColorStyle" Target="colors14.xml"/><Relationship Id="rId1" Type="http://schemas.microsoft.com/office/2011/relationships/chartStyle" Target="style14.xml"/></Relationships>
</file>

<file path=word/charts/_rels/chart15.xml.rels><?xml version="1.0" encoding="UTF-8" standalone="yes"?>
<Relationships xmlns="http://schemas.openxmlformats.org/package/2006/relationships"><Relationship Id="rId3" Type="http://schemas.openxmlformats.org/officeDocument/2006/relationships/package" Target="../embeddings/Microsoft_Excel-werkblad15.xlsx"/><Relationship Id="rId2" Type="http://schemas.microsoft.com/office/2011/relationships/chartColorStyle" Target="colors15.xml"/><Relationship Id="rId1" Type="http://schemas.microsoft.com/office/2011/relationships/chartStyle" Target="style15.xml"/></Relationships>
</file>

<file path=word/charts/_rels/chart16.xml.rels><?xml version="1.0" encoding="UTF-8" standalone="yes"?>
<Relationships xmlns="http://schemas.openxmlformats.org/package/2006/relationships"><Relationship Id="rId3" Type="http://schemas.openxmlformats.org/officeDocument/2006/relationships/package" Target="../embeddings/Microsoft_Excel-werkblad16.xlsx"/><Relationship Id="rId2" Type="http://schemas.microsoft.com/office/2011/relationships/chartColorStyle" Target="colors16.xml"/><Relationship Id="rId1" Type="http://schemas.microsoft.com/office/2011/relationships/chartStyle" Target="style16.xml"/></Relationships>
</file>

<file path=word/charts/_rels/chart17.xml.rels><?xml version="1.0" encoding="UTF-8" standalone="yes"?>
<Relationships xmlns="http://schemas.openxmlformats.org/package/2006/relationships"><Relationship Id="rId3" Type="http://schemas.openxmlformats.org/officeDocument/2006/relationships/oleObject" Target="../embeddings/oleObject1.bin"/><Relationship Id="rId2" Type="http://schemas.microsoft.com/office/2011/relationships/chartColorStyle" Target="colors17.xml"/><Relationship Id="rId1" Type="http://schemas.microsoft.com/office/2011/relationships/chartStyle" Target="style17.xml"/></Relationships>
</file>

<file path=word/charts/_rels/chart18.xml.rels><?xml version="1.0" encoding="UTF-8" standalone="yes"?>
<Relationships xmlns="http://schemas.openxmlformats.org/package/2006/relationships"><Relationship Id="rId3" Type="http://schemas.openxmlformats.org/officeDocument/2006/relationships/oleObject" Target="../embeddings/oleObject2.bin"/><Relationship Id="rId2" Type="http://schemas.microsoft.com/office/2011/relationships/chartColorStyle" Target="colors18.xml"/><Relationship Id="rId1" Type="http://schemas.microsoft.com/office/2011/relationships/chartStyle" Target="style18.xml"/></Relationships>
</file>

<file path=word/charts/_rels/chart19.xml.rels><?xml version="1.0" encoding="UTF-8" standalone="yes"?>
<Relationships xmlns="http://schemas.openxmlformats.org/package/2006/relationships"><Relationship Id="rId3" Type="http://schemas.openxmlformats.org/officeDocument/2006/relationships/oleObject" Target="../embeddings/oleObject3.bin"/><Relationship Id="rId2" Type="http://schemas.microsoft.com/office/2011/relationships/chartColorStyle" Target="colors19.xml"/><Relationship Id="rId1" Type="http://schemas.microsoft.com/office/2011/relationships/chartStyle" Target="style19.xml"/></Relationships>
</file>

<file path=word/charts/_rels/chart20.xml.rels><?xml version="1.0" encoding="UTF-8" standalone="yes"?>
<Relationships xmlns="http://schemas.openxmlformats.org/package/2006/relationships"><Relationship Id="rId3" Type="http://schemas.openxmlformats.org/officeDocument/2006/relationships/oleObject" Target="../embeddings/oleObject4.bin"/><Relationship Id="rId2" Type="http://schemas.microsoft.com/office/2011/relationships/chartColorStyle" Target="colors20.xml"/><Relationship Id="rId1" Type="http://schemas.microsoft.com/office/2011/relationships/chartStyle" Target="style20.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BE" sz="1200"/>
              <a:t>Ik weet wat er verstaan wordt</a:t>
            </a:r>
            <a:r>
              <a:rPr lang="nl-BE" sz="1200" baseline="0"/>
              <a:t> onder het begrip burn-out</a:t>
            </a:r>
            <a:endParaRPr lang="nl-BE" sz="1200"/>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BE"/>
        </a:p>
      </c:txPr>
    </c:title>
    <c:autoTitleDeleted val="0"/>
    <c:plotArea>
      <c:layout/>
      <c:pieChart>
        <c:varyColors val="1"/>
        <c:ser>
          <c:idx val="0"/>
          <c:order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cat>
            <c:strRef>
              <c:f>'Sheet 1'!$F$91:$F$95</c:f>
              <c:strCache>
                <c:ptCount val="5"/>
                <c:pt idx="0">
                  <c:v>helemaal akkoord</c:v>
                </c:pt>
                <c:pt idx="1">
                  <c:v>akkoord</c:v>
                </c:pt>
                <c:pt idx="2">
                  <c:v>niet akkoord</c:v>
                </c:pt>
                <c:pt idx="3">
                  <c:v>helemaal niet akkoord </c:v>
                </c:pt>
                <c:pt idx="4">
                  <c:v>niet of onduidelijk ingevuld</c:v>
                </c:pt>
              </c:strCache>
            </c:strRef>
          </c:cat>
          <c:val>
            <c:numRef>
              <c:f>'Sheet 1'!$G$91:$G$95</c:f>
              <c:numCache>
                <c:formatCode>General</c:formatCode>
                <c:ptCount val="5"/>
                <c:pt idx="0">
                  <c:v>67</c:v>
                </c:pt>
                <c:pt idx="1">
                  <c:v>21</c:v>
                </c:pt>
                <c:pt idx="2">
                  <c:v>0</c:v>
                </c:pt>
                <c:pt idx="3">
                  <c:v>0</c:v>
                </c:pt>
                <c:pt idx="4">
                  <c:v>0</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BE"/>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BE"/>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BE" sz="1200"/>
              <a:t>Ik heb inzicht</a:t>
            </a:r>
            <a:r>
              <a:rPr lang="nl-BE" sz="1200" baseline="0"/>
              <a:t> in de onderliggende processen die meespelen bij het ontstaan van burn-out</a:t>
            </a:r>
            <a:endParaRPr lang="nl-BE" sz="1200"/>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BE"/>
        </a:p>
      </c:txPr>
    </c:title>
    <c:autoTitleDeleted val="0"/>
    <c:plotArea>
      <c:layout/>
      <c:pieChart>
        <c:varyColors val="1"/>
        <c:ser>
          <c:idx val="0"/>
          <c:order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cat>
            <c:strRef>
              <c:f>'Sheet 1'!$F$91:$F$95</c:f>
              <c:strCache>
                <c:ptCount val="5"/>
                <c:pt idx="0">
                  <c:v>helemaal akkoord</c:v>
                </c:pt>
                <c:pt idx="1">
                  <c:v>akkoord</c:v>
                </c:pt>
                <c:pt idx="2">
                  <c:v>niet akkoord</c:v>
                </c:pt>
                <c:pt idx="3">
                  <c:v>helemaal niet akkoord </c:v>
                </c:pt>
                <c:pt idx="4">
                  <c:v>niet of onduidelijk ingevuld</c:v>
                </c:pt>
              </c:strCache>
            </c:strRef>
          </c:cat>
          <c:val>
            <c:numRef>
              <c:f>'Sheet 1'!$H$91:$H$95</c:f>
              <c:numCache>
                <c:formatCode>General</c:formatCode>
                <c:ptCount val="5"/>
                <c:pt idx="0">
                  <c:v>58</c:v>
                </c:pt>
                <c:pt idx="1">
                  <c:v>28</c:v>
                </c:pt>
                <c:pt idx="2">
                  <c:v>1</c:v>
                </c:pt>
                <c:pt idx="3">
                  <c:v>0</c:v>
                </c:pt>
                <c:pt idx="4">
                  <c:v>0</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BE"/>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BE"/>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BE" sz="1200"/>
              <a:t>Ik</a:t>
            </a:r>
            <a:r>
              <a:rPr lang="nl-BE" sz="1200" baseline="0"/>
              <a:t> kan de symptomen herkennen die passen bij een burn-out</a:t>
            </a:r>
            <a:endParaRPr lang="nl-BE" sz="1200"/>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BE"/>
        </a:p>
      </c:txPr>
    </c:title>
    <c:autoTitleDeleted val="0"/>
    <c:plotArea>
      <c:layout/>
      <c:pieChart>
        <c:varyColors val="1"/>
        <c:ser>
          <c:idx val="0"/>
          <c:order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cat>
            <c:strRef>
              <c:f>'Sheet 1'!$F$91:$F$95</c:f>
              <c:strCache>
                <c:ptCount val="5"/>
                <c:pt idx="0">
                  <c:v>helemaal akkoord</c:v>
                </c:pt>
                <c:pt idx="1">
                  <c:v>akkoord</c:v>
                </c:pt>
                <c:pt idx="2">
                  <c:v>niet akkoord</c:v>
                </c:pt>
                <c:pt idx="3">
                  <c:v>helemaal niet akkoord </c:v>
                </c:pt>
                <c:pt idx="4">
                  <c:v>niet of onduidelijk ingevuld</c:v>
                </c:pt>
              </c:strCache>
            </c:strRef>
          </c:cat>
          <c:val>
            <c:numRef>
              <c:f>'Sheet 1'!$I$91:$I$95</c:f>
              <c:numCache>
                <c:formatCode>General</c:formatCode>
                <c:ptCount val="5"/>
                <c:pt idx="0">
                  <c:v>58</c:v>
                </c:pt>
                <c:pt idx="1">
                  <c:v>28</c:v>
                </c:pt>
                <c:pt idx="2">
                  <c:v>1</c:v>
                </c:pt>
                <c:pt idx="3">
                  <c:v>0</c:v>
                </c:pt>
                <c:pt idx="4">
                  <c:v>0</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b"/>
      <c:layout>
        <c:manualLayout>
          <c:xMode val="edge"/>
          <c:yMode val="edge"/>
          <c:x val="9.2490076863995879E-2"/>
          <c:y val="0.68135633334850487"/>
          <c:w val="0.84480391179695236"/>
          <c:h val="0.28396158572663965"/>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BE"/>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BE"/>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BE" sz="1200"/>
              <a:t>Ik beschik over tools om bij een vermoeden van burn-out de klachten verder te exploreren</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BE"/>
        </a:p>
      </c:txPr>
    </c:title>
    <c:autoTitleDeleted val="0"/>
    <c:plotArea>
      <c:layout/>
      <c:pieChart>
        <c:varyColors val="1"/>
        <c:ser>
          <c:idx val="0"/>
          <c:order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cat>
            <c:strRef>
              <c:f>'Sheet 1'!$F$91:$F$95</c:f>
              <c:strCache>
                <c:ptCount val="5"/>
                <c:pt idx="0">
                  <c:v>helemaal akkoord</c:v>
                </c:pt>
                <c:pt idx="1">
                  <c:v>akkoord</c:v>
                </c:pt>
                <c:pt idx="2">
                  <c:v>niet akkoord</c:v>
                </c:pt>
                <c:pt idx="3">
                  <c:v>helemaal niet akkoord </c:v>
                </c:pt>
                <c:pt idx="4">
                  <c:v>niet of onduidelijk ingevuld</c:v>
                </c:pt>
              </c:strCache>
            </c:strRef>
          </c:cat>
          <c:val>
            <c:numRef>
              <c:f>'Sheet 1'!$J$91:$J$95</c:f>
              <c:numCache>
                <c:formatCode>General</c:formatCode>
                <c:ptCount val="5"/>
                <c:pt idx="0">
                  <c:v>52</c:v>
                </c:pt>
                <c:pt idx="1">
                  <c:v>34</c:v>
                </c:pt>
                <c:pt idx="2">
                  <c:v>1</c:v>
                </c:pt>
                <c:pt idx="3">
                  <c:v>0</c:v>
                </c:pt>
                <c:pt idx="4">
                  <c:v>0</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BE"/>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BE"/>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BE" sz="1200"/>
              <a:t>Ik weet hoe te komen tot een diagnose van burn-out</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BE"/>
        </a:p>
      </c:txPr>
    </c:title>
    <c:autoTitleDeleted val="0"/>
    <c:plotArea>
      <c:layout/>
      <c:pieChart>
        <c:varyColors val="1"/>
        <c:ser>
          <c:idx val="0"/>
          <c:order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cat>
            <c:strRef>
              <c:f>'Sheet 1'!$F$91:$F$95</c:f>
              <c:strCache>
                <c:ptCount val="5"/>
                <c:pt idx="0">
                  <c:v>helemaal akkoord</c:v>
                </c:pt>
                <c:pt idx="1">
                  <c:v>akkoord</c:v>
                </c:pt>
                <c:pt idx="2">
                  <c:v>niet akkoord</c:v>
                </c:pt>
                <c:pt idx="3">
                  <c:v>helemaal niet akkoord </c:v>
                </c:pt>
                <c:pt idx="4">
                  <c:v>niet of onduidelijk ingevuld</c:v>
                </c:pt>
              </c:strCache>
            </c:strRef>
          </c:cat>
          <c:val>
            <c:numRef>
              <c:f>'Sheet 1'!$K$91:$K$95</c:f>
              <c:numCache>
                <c:formatCode>General</c:formatCode>
                <c:ptCount val="5"/>
                <c:pt idx="0">
                  <c:v>47</c:v>
                </c:pt>
                <c:pt idx="1">
                  <c:v>36</c:v>
                </c:pt>
                <c:pt idx="2">
                  <c:v>3</c:v>
                </c:pt>
                <c:pt idx="3">
                  <c:v>0</c:v>
                </c:pt>
                <c:pt idx="4">
                  <c:v>1</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BE"/>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BE"/>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BE" sz="1200"/>
              <a:t>Ik kan differentiëren tussen burn-out, overspannenheid, depressie en angst/paniek</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BE"/>
        </a:p>
      </c:txPr>
    </c:title>
    <c:autoTitleDeleted val="0"/>
    <c:plotArea>
      <c:layout/>
      <c:pieChart>
        <c:varyColors val="1"/>
        <c:ser>
          <c:idx val="0"/>
          <c:order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cat>
            <c:strRef>
              <c:f>'Sheet 1'!$F$91:$F$95</c:f>
              <c:strCache>
                <c:ptCount val="5"/>
                <c:pt idx="0">
                  <c:v>helemaal akkoord</c:v>
                </c:pt>
                <c:pt idx="1">
                  <c:v>akkoord</c:v>
                </c:pt>
                <c:pt idx="2">
                  <c:v>niet akkoord</c:v>
                </c:pt>
                <c:pt idx="3">
                  <c:v>helemaal niet akkoord </c:v>
                </c:pt>
                <c:pt idx="4">
                  <c:v>niet of onduidelijk ingevuld</c:v>
                </c:pt>
              </c:strCache>
            </c:strRef>
          </c:cat>
          <c:val>
            <c:numRef>
              <c:f>'Sheet 1'!$L$91:$L$95</c:f>
              <c:numCache>
                <c:formatCode>General</c:formatCode>
                <c:ptCount val="5"/>
                <c:pt idx="0">
                  <c:v>44</c:v>
                </c:pt>
                <c:pt idx="1">
                  <c:v>39</c:v>
                </c:pt>
                <c:pt idx="2">
                  <c:v>4</c:v>
                </c:pt>
                <c:pt idx="3">
                  <c:v>0</c:v>
                </c:pt>
                <c:pt idx="4">
                  <c:v>1</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BE"/>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BE"/>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BE" sz="1200"/>
              <a:t>Ik weet welke termijn van arbeidsongeschiktheid wordt aanbevolen bij een burn-out</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BE"/>
        </a:p>
      </c:txPr>
    </c:title>
    <c:autoTitleDeleted val="0"/>
    <c:plotArea>
      <c:layout/>
      <c:pieChart>
        <c:varyColors val="1"/>
        <c:ser>
          <c:idx val="0"/>
          <c:order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cat>
            <c:strRef>
              <c:f>'Sheet 1'!$F$91:$F$95</c:f>
              <c:strCache>
                <c:ptCount val="5"/>
                <c:pt idx="0">
                  <c:v>helemaal akkoord</c:v>
                </c:pt>
                <c:pt idx="1">
                  <c:v>akkoord</c:v>
                </c:pt>
                <c:pt idx="2">
                  <c:v>niet akkoord</c:v>
                </c:pt>
                <c:pt idx="3">
                  <c:v>helemaal niet akkoord </c:v>
                </c:pt>
                <c:pt idx="4">
                  <c:v>niet of onduidelijk ingevuld</c:v>
                </c:pt>
              </c:strCache>
            </c:strRef>
          </c:cat>
          <c:val>
            <c:numRef>
              <c:f>'Sheet 1'!$M$91:$M$95</c:f>
              <c:numCache>
                <c:formatCode>General</c:formatCode>
                <c:ptCount val="5"/>
                <c:pt idx="0">
                  <c:v>45</c:v>
                </c:pt>
                <c:pt idx="1">
                  <c:v>37</c:v>
                </c:pt>
                <c:pt idx="2">
                  <c:v>4</c:v>
                </c:pt>
                <c:pt idx="3">
                  <c:v>0</c:v>
                </c:pt>
                <c:pt idx="4">
                  <c:v>1</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BE"/>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BE"/>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BE"/>
              <a:t>Ik weet wanneer ik moet doorverwijzen </a:t>
            </a:r>
          </a:p>
        </c:rich>
      </c:tx>
      <c:layout>
        <c:manualLayout>
          <c:xMode val="edge"/>
          <c:yMode val="edge"/>
          <c:x val="0.16270946296383612"/>
          <c:y val="0"/>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BE"/>
        </a:p>
      </c:txPr>
    </c:title>
    <c:autoTitleDeleted val="0"/>
    <c:plotArea>
      <c:layout/>
      <c:pieChart>
        <c:varyColors val="1"/>
        <c:ser>
          <c:idx val="0"/>
          <c:order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cat>
            <c:strRef>
              <c:f>'Sheet 1'!$F$91:$F$95</c:f>
              <c:strCache>
                <c:ptCount val="5"/>
                <c:pt idx="0">
                  <c:v>helemaal akkoord</c:v>
                </c:pt>
                <c:pt idx="1">
                  <c:v>akkoord</c:v>
                </c:pt>
                <c:pt idx="2">
                  <c:v>niet akkoord</c:v>
                </c:pt>
                <c:pt idx="3">
                  <c:v>helemaal niet akkoord </c:v>
                </c:pt>
                <c:pt idx="4">
                  <c:v>niet of onduidelijk ingevuld</c:v>
                </c:pt>
              </c:strCache>
            </c:strRef>
          </c:cat>
          <c:val>
            <c:numRef>
              <c:f>'Sheet 1'!$N$91:$N$95</c:f>
              <c:numCache>
                <c:formatCode>General</c:formatCode>
                <c:ptCount val="5"/>
                <c:pt idx="0">
                  <c:v>50</c:v>
                </c:pt>
                <c:pt idx="1">
                  <c:v>36</c:v>
                </c:pt>
                <c:pt idx="2">
                  <c:v>2</c:v>
                </c:pt>
                <c:pt idx="3">
                  <c:v>0</c:v>
                </c:pt>
                <c:pt idx="4">
                  <c:v>0</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BE"/>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BE"/>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BE" sz="1200"/>
              <a:t>Ik weet naar wie ik moet doorverwijzen</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BE"/>
        </a:p>
      </c:txPr>
    </c:title>
    <c:autoTitleDeleted val="0"/>
    <c:plotArea>
      <c:layout/>
      <c:pieChart>
        <c:varyColors val="1"/>
        <c:ser>
          <c:idx val="0"/>
          <c:order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cat>
            <c:strRef>
              <c:f>'Sheet 1'!$F$91:$F$95</c:f>
              <c:strCache>
                <c:ptCount val="5"/>
                <c:pt idx="0">
                  <c:v>helemaal akkoord</c:v>
                </c:pt>
                <c:pt idx="1">
                  <c:v>akkoord</c:v>
                </c:pt>
                <c:pt idx="2">
                  <c:v>niet akkoord</c:v>
                </c:pt>
                <c:pt idx="3">
                  <c:v>helemaal niet akkoord </c:v>
                </c:pt>
                <c:pt idx="4">
                  <c:v>niet of onduidelijk ingevuld</c:v>
                </c:pt>
              </c:strCache>
            </c:strRef>
          </c:cat>
          <c:val>
            <c:numRef>
              <c:f>'Sheet 1'!$O$91:$O$95</c:f>
              <c:numCache>
                <c:formatCode>General</c:formatCode>
                <c:ptCount val="5"/>
                <c:pt idx="0">
                  <c:v>37</c:v>
                </c:pt>
                <c:pt idx="1">
                  <c:v>44</c:v>
                </c:pt>
                <c:pt idx="2">
                  <c:v>5</c:v>
                </c:pt>
                <c:pt idx="3">
                  <c:v>1</c:v>
                </c:pt>
                <c:pt idx="4">
                  <c:v>1</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BE"/>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BE"/>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BE" sz="1200"/>
              <a:t>Ik weet hoe ik moet doorverwijzen</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BE"/>
        </a:p>
      </c:txPr>
    </c:title>
    <c:autoTitleDeleted val="0"/>
    <c:plotArea>
      <c:layout/>
      <c:pieChart>
        <c:varyColors val="1"/>
        <c:ser>
          <c:idx val="0"/>
          <c:order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cat>
            <c:strRef>
              <c:f>'Sheet 1'!$F$91:$F$95</c:f>
              <c:strCache>
                <c:ptCount val="5"/>
                <c:pt idx="0">
                  <c:v>helemaal akkoord</c:v>
                </c:pt>
                <c:pt idx="1">
                  <c:v>akkoord</c:v>
                </c:pt>
                <c:pt idx="2">
                  <c:v>niet akkoord</c:v>
                </c:pt>
                <c:pt idx="3">
                  <c:v>helemaal niet akkoord </c:v>
                </c:pt>
                <c:pt idx="4">
                  <c:v>niet of onduidelijk ingevuld</c:v>
                </c:pt>
              </c:strCache>
            </c:strRef>
          </c:cat>
          <c:val>
            <c:numRef>
              <c:f>'Sheet 1'!$P$91:$P$95</c:f>
              <c:numCache>
                <c:formatCode>General</c:formatCode>
                <c:ptCount val="5"/>
                <c:pt idx="0">
                  <c:v>37</c:v>
                </c:pt>
                <c:pt idx="1">
                  <c:v>42</c:v>
                </c:pt>
                <c:pt idx="2">
                  <c:v>7</c:v>
                </c:pt>
                <c:pt idx="3">
                  <c:v>1</c:v>
                </c:pt>
                <c:pt idx="4">
                  <c:v>1</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BE"/>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BE"/>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BE" sz="1200"/>
              <a:t>Ik weet waaruit een behandeling van iemand met burn-out bestaat</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BE"/>
        </a:p>
      </c:txPr>
    </c:title>
    <c:autoTitleDeleted val="0"/>
    <c:plotArea>
      <c:layout/>
      <c:pieChart>
        <c:varyColors val="1"/>
        <c:ser>
          <c:idx val="0"/>
          <c:order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cat>
            <c:strRef>
              <c:f>'Sheet 1'!$F$91:$F$95</c:f>
              <c:strCache>
                <c:ptCount val="5"/>
                <c:pt idx="0">
                  <c:v>helemaal akkoord</c:v>
                </c:pt>
                <c:pt idx="1">
                  <c:v>akkoord</c:v>
                </c:pt>
                <c:pt idx="2">
                  <c:v>niet akkoord</c:v>
                </c:pt>
                <c:pt idx="3">
                  <c:v>helemaal niet akkoord </c:v>
                </c:pt>
                <c:pt idx="4">
                  <c:v>niet of onduidelijk ingevuld</c:v>
                </c:pt>
              </c:strCache>
            </c:strRef>
          </c:cat>
          <c:val>
            <c:numRef>
              <c:f>'Sheet 1'!$Q$91:$Q$95</c:f>
              <c:numCache>
                <c:formatCode>General</c:formatCode>
                <c:ptCount val="5"/>
                <c:pt idx="0">
                  <c:v>35</c:v>
                </c:pt>
                <c:pt idx="1">
                  <c:v>47</c:v>
                </c:pt>
                <c:pt idx="2">
                  <c:v>2</c:v>
                </c:pt>
                <c:pt idx="3">
                  <c:v>0</c:v>
                </c:pt>
                <c:pt idx="4">
                  <c:v>3</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BE"/>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BE"/>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BE" sz="1200"/>
              <a:t>Ik weet voldoende over de nieuwe re-integratiewetgeving</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BE"/>
        </a:p>
      </c:txPr>
    </c:title>
    <c:autoTitleDeleted val="0"/>
    <c:plotArea>
      <c:layout/>
      <c:pieChart>
        <c:varyColors val="1"/>
        <c:ser>
          <c:idx val="0"/>
          <c:order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cat>
            <c:strRef>
              <c:f>'Sheet 1'!$F$91:$F$95</c:f>
              <c:strCache>
                <c:ptCount val="5"/>
                <c:pt idx="0">
                  <c:v>helemaal akkoord</c:v>
                </c:pt>
                <c:pt idx="1">
                  <c:v>akkoord</c:v>
                </c:pt>
                <c:pt idx="2">
                  <c:v>niet akkoord</c:v>
                </c:pt>
                <c:pt idx="3">
                  <c:v>helemaal niet akkoord </c:v>
                </c:pt>
                <c:pt idx="4">
                  <c:v>niet of onduidelijk ingevuld</c:v>
                </c:pt>
              </c:strCache>
            </c:strRef>
          </c:cat>
          <c:val>
            <c:numRef>
              <c:f>'Sheet 1'!$R$91:$R$95</c:f>
              <c:numCache>
                <c:formatCode>General</c:formatCode>
                <c:ptCount val="5"/>
                <c:pt idx="0">
                  <c:v>12</c:v>
                </c:pt>
                <c:pt idx="1">
                  <c:v>23</c:v>
                </c:pt>
                <c:pt idx="2">
                  <c:v>39</c:v>
                </c:pt>
                <c:pt idx="3">
                  <c:v>9</c:v>
                </c:pt>
                <c:pt idx="4">
                  <c:v>3</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BE"/>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BE"/>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BE" sz="1200"/>
              <a:t>Ik vind dat er een goede interactie was tussen de moderatoren en de deelnemers</a:t>
            </a:r>
          </a:p>
        </c:rich>
      </c:tx>
      <c:layout>
        <c:manualLayout>
          <c:xMode val="edge"/>
          <c:yMode val="edge"/>
          <c:x val="0.16154855643044619"/>
          <c:y val="3.7037037037037035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BE"/>
        </a:p>
      </c:txPr>
    </c:title>
    <c:autoTitleDeleted val="0"/>
    <c:plotArea>
      <c:layout/>
      <c:pieChart>
        <c:varyColors val="1"/>
        <c:ser>
          <c:idx val="0"/>
          <c:order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cat>
            <c:strRef>
              <c:f>'Sheet 1'!$F$91:$F$95</c:f>
              <c:strCache>
                <c:ptCount val="5"/>
                <c:pt idx="0">
                  <c:v>helemaal akkoord</c:v>
                </c:pt>
                <c:pt idx="1">
                  <c:v>akkoord</c:v>
                </c:pt>
                <c:pt idx="2">
                  <c:v>niet akkoord</c:v>
                </c:pt>
                <c:pt idx="3">
                  <c:v>helemaal niet akkoord </c:v>
                </c:pt>
                <c:pt idx="4">
                  <c:v>niet of onduidelijk ingevuld</c:v>
                </c:pt>
              </c:strCache>
            </c:strRef>
          </c:cat>
          <c:val>
            <c:numRef>
              <c:f>'Sheet 1'!$T$91:$T$95</c:f>
              <c:numCache>
                <c:formatCode>General</c:formatCode>
                <c:ptCount val="5"/>
                <c:pt idx="0">
                  <c:v>63</c:v>
                </c:pt>
                <c:pt idx="1">
                  <c:v>22</c:v>
                </c:pt>
                <c:pt idx="2">
                  <c:v>1</c:v>
                </c:pt>
                <c:pt idx="3">
                  <c:v>0</c:v>
                </c:pt>
                <c:pt idx="4">
                  <c:v>1</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BE"/>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BE"/>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BE" sz="1200"/>
              <a:t>Preventie van burn-out is een geschikt onderwerp binnen de setting van een LOK-groep</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BE"/>
        </a:p>
      </c:txPr>
    </c:title>
    <c:autoTitleDeleted val="0"/>
    <c:plotArea>
      <c:layout/>
      <c:pieChart>
        <c:varyColors val="1"/>
        <c:ser>
          <c:idx val="0"/>
          <c:order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cat>
            <c:strRef>
              <c:f>'Sheet 1'!$F$91:$F$95</c:f>
              <c:strCache>
                <c:ptCount val="5"/>
                <c:pt idx="0">
                  <c:v>helemaal akkoord</c:v>
                </c:pt>
                <c:pt idx="1">
                  <c:v>akkoord</c:v>
                </c:pt>
                <c:pt idx="2">
                  <c:v>niet akkoord</c:v>
                </c:pt>
                <c:pt idx="3">
                  <c:v>helemaal niet akkoord </c:v>
                </c:pt>
                <c:pt idx="4">
                  <c:v>niet of onduidelijk ingevuld</c:v>
                </c:pt>
              </c:strCache>
            </c:strRef>
          </c:cat>
          <c:val>
            <c:numRef>
              <c:f>'Sheet 1'!$U$91:$U$95</c:f>
              <c:numCache>
                <c:formatCode>General</c:formatCode>
                <c:ptCount val="5"/>
                <c:pt idx="0">
                  <c:v>67</c:v>
                </c:pt>
                <c:pt idx="1">
                  <c:v>18</c:v>
                </c:pt>
                <c:pt idx="2">
                  <c:v>1</c:v>
                </c:pt>
                <c:pt idx="3">
                  <c:v>0</c:v>
                </c:pt>
                <c:pt idx="4">
                  <c:v>1</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BE"/>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BE"/>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BE" sz="1200"/>
              <a:t>De inhoud van deze LOK-vergadering voldeed aan mijn verwachtingen</a:t>
            </a:r>
          </a:p>
        </c:rich>
      </c:tx>
      <c:layout>
        <c:manualLayout>
          <c:xMode val="edge"/>
          <c:yMode val="edge"/>
          <c:x val="0.12470844269466314"/>
          <c:y val="4.1666666666666664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BE"/>
        </a:p>
      </c:txPr>
    </c:title>
    <c:autoTitleDeleted val="0"/>
    <c:plotArea>
      <c:layout/>
      <c:pieChart>
        <c:varyColors val="1"/>
        <c:ser>
          <c:idx val="0"/>
          <c:order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cat>
            <c:strRef>
              <c:f>'Sheet 1'!$F$91:$F$95</c:f>
              <c:strCache>
                <c:ptCount val="5"/>
                <c:pt idx="0">
                  <c:v>helemaal akkoord</c:v>
                </c:pt>
                <c:pt idx="1">
                  <c:v>akkoord</c:v>
                </c:pt>
                <c:pt idx="2">
                  <c:v>niet akkoord</c:v>
                </c:pt>
                <c:pt idx="3">
                  <c:v>helemaal niet akkoord </c:v>
                </c:pt>
                <c:pt idx="4">
                  <c:v>niet of onduidelijk ingevuld</c:v>
                </c:pt>
              </c:strCache>
            </c:strRef>
          </c:cat>
          <c:val>
            <c:numRef>
              <c:f>'Sheet 1'!$V$91:$V$95</c:f>
              <c:numCache>
                <c:formatCode>General</c:formatCode>
                <c:ptCount val="5"/>
                <c:pt idx="0">
                  <c:v>54</c:v>
                </c:pt>
                <c:pt idx="1">
                  <c:v>26</c:v>
                </c:pt>
                <c:pt idx="2">
                  <c:v>7</c:v>
                </c:pt>
                <c:pt idx="3">
                  <c:v>0</c:v>
                </c:pt>
                <c:pt idx="4">
                  <c:v>1</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BE"/>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BE"/>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BE" sz="1200"/>
              <a:t>De moderatoren hebben deze LOK goed begeleid</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BE"/>
        </a:p>
      </c:txPr>
    </c:title>
    <c:autoTitleDeleted val="0"/>
    <c:plotArea>
      <c:layout/>
      <c:pieChart>
        <c:varyColors val="1"/>
        <c:ser>
          <c:idx val="0"/>
          <c:order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cat>
            <c:strRef>
              <c:f>'Sheet 1'!$F$91:$F$95</c:f>
              <c:strCache>
                <c:ptCount val="5"/>
                <c:pt idx="0">
                  <c:v>helemaal akkoord</c:v>
                </c:pt>
                <c:pt idx="1">
                  <c:v>akkoord</c:v>
                </c:pt>
                <c:pt idx="2">
                  <c:v>niet akkoord</c:v>
                </c:pt>
                <c:pt idx="3">
                  <c:v>helemaal niet akkoord </c:v>
                </c:pt>
                <c:pt idx="4">
                  <c:v>niet of onduidelijk ingevuld</c:v>
                </c:pt>
              </c:strCache>
            </c:strRef>
          </c:cat>
          <c:val>
            <c:numRef>
              <c:f>'Sheet 1'!$W$91:$W$95</c:f>
              <c:numCache>
                <c:formatCode>General</c:formatCode>
                <c:ptCount val="5"/>
                <c:pt idx="0">
                  <c:v>68</c:v>
                </c:pt>
                <c:pt idx="1">
                  <c:v>17</c:v>
                </c:pt>
                <c:pt idx="2">
                  <c:v>1</c:v>
                </c:pt>
                <c:pt idx="3">
                  <c:v>0</c:v>
                </c:pt>
                <c:pt idx="4">
                  <c:v>1</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BE"/>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BE"/>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BE" sz="1200"/>
              <a:t>Het onderwerp van deze vorming is een goed onderwerp binnen de setting van een LOK </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BE"/>
        </a:p>
      </c:txPr>
    </c:title>
    <c:autoTitleDeleted val="0"/>
    <c:plotArea>
      <c:layout/>
      <c:pieChart>
        <c:varyColors val="1"/>
        <c:ser>
          <c:idx val="0"/>
          <c:order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cat>
            <c:strRef>
              <c:f>'[EvaluatieLOKpreventievanburnou (3).xlsx]Sheet 1'!$J$19:$J$23</c:f>
              <c:strCache>
                <c:ptCount val="5"/>
                <c:pt idx="0">
                  <c:v>helemaal akkoord</c:v>
                </c:pt>
                <c:pt idx="1">
                  <c:v>akkoord</c:v>
                </c:pt>
                <c:pt idx="2">
                  <c:v>niet akkoord </c:v>
                </c:pt>
                <c:pt idx="3">
                  <c:v>helemaal niet akkoord </c:v>
                </c:pt>
                <c:pt idx="4">
                  <c:v>niet of onduidelijk ingevuld </c:v>
                </c:pt>
              </c:strCache>
            </c:strRef>
          </c:cat>
          <c:val>
            <c:numRef>
              <c:f>'[EvaluatieLOKpreventievanburnou (3).xlsx]Sheet 1'!$K$19:$K$23</c:f>
              <c:numCache>
                <c:formatCode>General</c:formatCode>
                <c:ptCount val="5"/>
                <c:pt idx="0">
                  <c:v>15</c:v>
                </c:pt>
                <c:pt idx="1">
                  <c:v>1</c:v>
                </c:pt>
                <c:pt idx="2">
                  <c:v>0</c:v>
                </c:pt>
                <c:pt idx="3">
                  <c:v>0</c:v>
                </c:pt>
                <c:pt idx="4">
                  <c:v>0</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BE"/>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BE"/>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BE" sz="1200"/>
              <a:t>De inhoud van de LOK-vergadering is toepasbaar in de praktijk</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BE"/>
        </a:p>
      </c:txPr>
    </c:title>
    <c:autoTitleDeleted val="0"/>
    <c:plotArea>
      <c:layout/>
      <c:pieChart>
        <c:varyColors val="1"/>
        <c:ser>
          <c:idx val="0"/>
          <c:order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cat>
            <c:strRef>
              <c:f>'[EvaluatieLOKpreventievanburnou (3).xlsx]Sheet 1'!$J$19:$J$23</c:f>
              <c:strCache>
                <c:ptCount val="5"/>
                <c:pt idx="0">
                  <c:v>helemaal akkoord</c:v>
                </c:pt>
                <c:pt idx="1">
                  <c:v>akkoord</c:v>
                </c:pt>
                <c:pt idx="2">
                  <c:v>niet akkoord </c:v>
                </c:pt>
                <c:pt idx="3">
                  <c:v>helemaal niet akkoord </c:v>
                </c:pt>
                <c:pt idx="4">
                  <c:v>niet of onduidelijk ingevuld </c:v>
                </c:pt>
              </c:strCache>
            </c:strRef>
          </c:cat>
          <c:val>
            <c:numRef>
              <c:f>'[EvaluatieLOKpreventievanburnou (3).xlsx]Sheet 1'!$L$19:$L$23</c:f>
              <c:numCache>
                <c:formatCode>General</c:formatCode>
                <c:ptCount val="5"/>
                <c:pt idx="0">
                  <c:v>10</c:v>
                </c:pt>
                <c:pt idx="1">
                  <c:v>6</c:v>
                </c:pt>
                <c:pt idx="2">
                  <c:v>0</c:v>
                </c:pt>
                <c:pt idx="3">
                  <c:v>0</c:v>
                </c:pt>
                <c:pt idx="4">
                  <c:v>0</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BE"/>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BE"/>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BE" sz="1200"/>
              <a:t>De handleiding stelt mij als LOK-moderator in staat om kennis, inzicht en vaardigheden over te brengen aan de LOK-deelnemers</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BE"/>
        </a:p>
      </c:txPr>
    </c:title>
    <c:autoTitleDeleted val="0"/>
    <c:plotArea>
      <c:layout/>
      <c:pieChart>
        <c:varyColors val="1"/>
        <c:ser>
          <c:idx val="0"/>
          <c:order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cat>
            <c:strRef>
              <c:f>'[EvaluatieLOKpreventievanburnou (3).xlsx]Sheet 1'!$J$19:$J$23</c:f>
              <c:strCache>
                <c:ptCount val="5"/>
                <c:pt idx="0">
                  <c:v>helemaal akkoord</c:v>
                </c:pt>
                <c:pt idx="1">
                  <c:v>akkoord</c:v>
                </c:pt>
                <c:pt idx="2">
                  <c:v>niet akkoord </c:v>
                </c:pt>
                <c:pt idx="3">
                  <c:v>helemaal niet akkoord </c:v>
                </c:pt>
                <c:pt idx="4">
                  <c:v>niet of onduidelijk ingevuld </c:v>
                </c:pt>
              </c:strCache>
            </c:strRef>
          </c:cat>
          <c:val>
            <c:numRef>
              <c:f>'[EvaluatieLOKpreventievanburnou (3).xlsx]Sheet 1'!$M$19:$M$23</c:f>
              <c:numCache>
                <c:formatCode>General</c:formatCode>
                <c:ptCount val="5"/>
                <c:pt idx="0">
                  <c:v>9</c:v>
                </c:pt>
                <c:pt idx="1">
                  <c:v>7</c:v>
                </c:pt>
                <c:pt idx="2">
                  <c:v>0</c:v>
                </c:pt>
                <c:pt idx="3">
                  <c:v>0</c:v>
                </c:pt>
                <c:pt idx="4">
                  <c:v>0</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BE"/>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BE"/>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BE" sz="1200"/>
              <a:t>Er was een goede interactie tussen de moderator en de deelnemers </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BE"/>
        </a:p>
      </c:txPr>
    </c:title>
    <c:autoTitleDeleted val="0"/>
    <c:plotArea>
      <c:layout/>
      <c:pieChart>
        <c:varyColors val="1"/>
        <c:ser>
          <c:idx val="0"/>
          <c:order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cat>
            <c:strRef>
              <c:f>'[EvaluatieLOKpreventievanburnou (3).xlsx]Sheet 1'!$J$19:$J$23</c:f>
              <c:strCache>
                <c:ptCount val="5"/>
                <c:pt idx="0">
                  <c:v>helemaal akkoord</c:v>
                </c:pt>
                <c:pt idx="1">
                  <c:v>akkoord</c:v>
                </c:pt>
                <c:pt idx="2">
                  <c:v>niet akkoord </c:v>
                </c:pt>
                <c:pt idx="3">
                  <c:v>helemaal niet akkoord </c:v>
                </c:pt>
                <c:pt idx="4">
                  <c:v>niet of onduidelijk ingevuld </c:v>
                </c:pt>
              </c:strCache>
            </c:strRef>
          </c:cat>
          <c:val>
            <c:numRef>
              <c:f>'[EvaluatieLOKpreventievanburnou (3).xlsx]Sheet 1'!$N$19:$N$23</c:f>
              <c:numCache>
                <c:formatCode>General</c:formatCode>
                <c:ptCount val="5"/>
                <c:pt idx="0">
                  <c:v>9</c:v>
                </c:pt>
                <c:pt idx="1">
                  <c:v>5</c:v>
                </c:pt>
                <c:pt idx="2">
                  <c:v>2</c:v>
                </c:pt>
                <c:pt idx="3">
                  <c:v>0</c:v>
                </c:pt>
                <c:pt idx="4">
                  <c:v>0</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BE"/>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BE"/>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A7A347DB5DC5F4EA8666DFB5C4049ED" ma:contentTypeVersion="12" ma:contentTypeDescription="Create a new document." ma:contentTypeScope="" ma:versionID="58275f036bc44162731654d8b52c1300">
  <xsd:schema xmlns:xsd="http://www.w3.org/2001/XMLSchema" xmlns:xs="http://www.w3.org/2001/XMLSchema" xmlns:p="http://schemas.microsoft.com/office/2006/metadata/properties" xmlns:ns1="http://schemas.microsoft.com/sharepoint/v3" xmlns:ns2="888c19c8-2d53-45e3-b4cf-13c3fd8922d3" xmlns:ns3="a281803f-7c30-43b8-bc69-fa9c7c5c6876" xmlns:ns4="0c286d8c-2b07-481b-9898-5e0f642949bb" targetNamespace="http://schemas.microsoft.com/office/2006/metadata/properties" ma:root="true" ma:fieldsID="02cc96db3730a08120f33cc3ff31cf66" ns1:_="" ns2:_="" ns3:_="" ns4:_="">
    <xsd:import namespace="http://schemas.microsoft.com/sharepoint/v3"/>
    <xsd:import namespace="888c19c8-2d53-45e3-b4cf-13c3fd8922d3"/>
    <xsd:import namespace="a281803f-7c30-43b8-bc69-fa9c7c5c6876"/>
    <xsd:import namespace="0c286d8c-2b07-481b-9898-5e0f642949bb"/>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OCR" minOccurs="0"/>
                <xsd:element ref="ns4:SharedWithUsers" minOccurs="0"/>
                <xsd:element ref="ns4:SharedWithDetails" minOccurs="0"/>
                <xsd:element ref="ns3:MediaServiceGenerationTime" minOccurs="0"/>
                <xsd:element ref="ns3:MediaServiceEventHashCode"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1" nillable="true" ma:displayName="Unified Compliance Policy Properties" ma:hidden="true" ma:internalName="_ip_UnifiedCompliancePolicyProperties">
      <xsd:simpleType>
        <xsd:restriction base="dms:Note"/>
      </xsd:simpleType>
    </xsd:element>
    <xsd:element name="_ip_UnifiedCompliancePolicyUIAction" ma:index="22"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88c19c8-2d53-45e3-b4cf-13c3fd8922d3"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a281803f-7c30-43b8-bc69-fa9c7c5c6876"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MediaServiceAutoTags" ma:internalName="MediaServiceAutoTags" ma:readOnly="true">
      <xsd:simpleType>
        <xsd:restriction base="dms:Text"/>
      </xsd:simpleType>
    </xsd:element>
    <xsd:element name="MediaServiceLocation" ma:index="15" nillable="true" ma:displayName="MediaServiceLocation" ma:internalName="MediaServiceLocatio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c286d8c-2b07-481b-9898-5e0f642949bb"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dlc_DocId xmlns="888c19c8-2d53-45e3-b4cf-13c3fd8922d3">SRNSVQQ3ZVQM-1365036356-6031</_dlc_DocId>
    <_dlc_DocIdUrl xmlns="888c19c8-2d53-45e3-b4cf-13c3fd8922d3">
      <Url>https://mobiusgroup.sharepoint.com/sites/mobius/Projects/FODSZ1405/_layouts/15/DocIdRedir.aspx?ID=SRNSVQQ3ZVQM-1365036356-6031</Url>
      <Description>SRNSVQQ3ZVQM-1365036356-6031</Description>
    </_dlc_DocIdUrl>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1A4CA0D2-2630-4E44-855A-D89ED9EB5B31}"/>
</file>

<file path=customXml/itemProps2.xml><?xml version="1.0" encoding="utf-8"?>
<ds:datastoreItem xmlns:ds="http://schemas.openxmlformats.org/officeDocument/2006/customXml" ds:itemID="{44631302-57D4-4285-9316-35C6CDB74B1A}"/>
</file>

<file path=customXml/itemProps3.xml><?xml version="1.0" encoding="utf-8"?>
<ds:datastoreItem xmlns:ds="http://schemas.openxmlformats.org/officeDocument/2006/customXml" ds:itemID="{AFC5337E-C398-40C5-89E2-F4993AA2513D}"/>
</file>

<file path=customXml/itemProps4.xml><?xml version="1.0" encoding="utf-8"?>
<ds:datastoreItem xmlns:ds="http://schemas.openxmlformats.org/officeDocument/2006/customXml" ds:itemID="{750DC2C2-635C-4AB4-B73F-08758BDBDC12}"/>
</file>

<file path=docProps/app.xml><?xml version="1.0" encoding="utf-8"?>
<Properties xmlns="http://schemas.openxmlformats.org/officeDocument/2006/extended-properties" xmlns:vt="http://schemas.openxmlformats.org/officeDocument/2006/docPropsVTypes">
  <Template>Normal.dotm</Template>
  <TotalTime>229</TotalTime>
  <Pages>8</Pages>
  <Words>746</Words>
  <Characters>4104</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Hewlett-Packard Company</Company>
  <LinksUpToDate>false</LinksUpToDate>
  <CharactersWithSpaces>4841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Charlotte Sercu</dc:creator>
  <cp:keywords/>
  <dc:description/>
  <cp:lastModifiedBy>Charlotte Sercu</cp:lastModifiedBy>
  <cp:revision>9</cp:revision>
  <dcterms:created xsi:type="dcterms:W3CDTF">2020-01-09T07:57:00Z</dcterms:created>
  <dcterms:modified xsi:type="dcterms:W3CDTF">2020-01-09T11:47:00Z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0x0101006A7A347DB5DC5F4EA8666DFB5C4049ED</vt:lpwstr>
  </property>
  <property fmtid="{D5CDD505-2E9C-101B-9397-08002B2CF9AE}" pid="3" name="_dlc_DocIdItemGuid">
    <vt:lpwstr>1baada96-543a-4790-bfa0-7b5dc36c964b</vt:lpwstr>
  </property>
</Properties>
</file>